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54"/>
        <w:gridCol w:w="5175"/>
        <w:gridCol w:w="166"/>
        <w:gridCol w:w="91"/>
        <w:gridCol w:w="4070"/>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735BA851" w:rsidR="00093CA9" w:rsidRDefault="003D48C1" w:rsidP="00093CA9">
            <w:r>
              <w:t>SSEK</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13215AA4" w:rsidR="00093CA9" w:rsidRDefault="003D48C1" w:rsidP="00093CA9">
            <w:r>
              <w:t>Indonesia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5F1AC834" w:rsidR="00093CA9" w:rsidRDefault="00931681" w:rsidP="00093CA9">
            <w:r w:rsidRPr="00931681">
              <w:t>Minister of Environment and Forestry Regulation No. 21 of 2022 regarding Guidelines on the Implementation of Carbon Economic Value (</w:t>
            </w:r>
            <w:proofErr w:type="spellStart"/>
            <w:r w:rsidRPr="00931681">
              <w:t>Peraturan</w:t>
            </w:r>
            <w:proofErr w:type="spellEnd"/>
            <w:r w:rsidRPr="00931681">
              <w:t xml:space="preserve"> Menteri </w:t>
            </w:r>
            <w:proofErr w:type="spellStart"/>
            <w:r w:rsidRPr="00931681">
              <w:t>Lingkungan</w:t>
            </w:r>
            <w:proofErr w:type="spellEnd"/>
            <w:r w:rsidRPr="00931681">
              <w:t xml:space="preserve"> Hidup dan </w:t>
            </w:r>
            <w:proofErr w:type="spellStart"/>
            <w:r w:rsidRPr="00931681">
              <w:t>Kehutanan</w:t>
            </w:r>
            <w:proofErr w:type="spellEnd"/>
            <w:r w:rsidRPr="00931681">
              <w:t xml:space="preserve"> No. 21 </w:t>
            </w:r>
            <w:proofErr w:type="spellStart"/>
            <w:r w:rsidRPr="00931681">
              <w:t>Tahun</w:t>
            </w:r>
            <w:proofErr w:type="spellEnd"/>
            <w:r w:rsidRPr="00931681">
              <w:t xml:space="preserve"> 2022 </w:t>
            </w:r>
            <w:proofErr w:type="spellStart"/>
            <w:r w:rsidRPr="00931681">
              <w:t>tentang</w:t>
            </w:r>
            <w:proofErr w:type="spellEnd"/>
            <w:r w:rsidRPr="00931681">
              <w:t xml:space="preserve"> Tata Laksana </w:t>
            </w:r>
            <w:proofErr w:type="spellStart"/>
            <w:r w:rsidRPr="00931681">
              <w:t>Penerapan</w:t>
            </w:r>
            <w:proofErr w:type="spellEnd"/>
            <w:r w:rsidRPr="00931681">
              <w:t xml:space="preserve"> Nilai Ekonomi Karbon)</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3E87D980" w:rsidR="00093CA9" w:rsidRDefault="008009B2" w:rsidP="00093CA9">
            <w:r w:rsidRPr="008009B2">
              <w:t>https://web.archive.org/web/20250126022910/https://peraturan.bpk.go.id/Details/235421/permen-lhk-no-21-tahun-2022</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5D77EC2C"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7C157008" w:rsidR="00093CA9" w:rsidRDefault="00931681"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10DC82E2"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0BA4402F" w14:textId="04CEFA0E" w:rsidR="004E0CCB" w:rsidRDefault="004E0CCB" w:rsidP="004E0CCB">
            <w:pPr>
              <w:jc w:val="both"/>
            </w:pPr>
            <w:r w:rsidRPr="004E0CCB">
              <w:t xml:space="preserve">The regulation establishes the </w:t>
            </w:r>
            <w:r w:rsidRPr="00785086">
              <w:t>procedures for implementing carbon pricing (</w:t>
            </w:r>
            <w:r w:rsidRPr="00785086">
              <w:rPr>
                <w:i/>
                <w:iCs/>
              </w:rPr>
              <w:t>Nilai</w:t>
            </w:r>
            <w:r>
              <w:t xml:space="preserve"> </w:t>
            </w:r>
            <w:r w:rsidRPr="00785086">
              <w:rPr>
                <w:i/>
                <w:iCs/>
              </w:rPr>
              <w:t>Ekonomi</w:t>
            </w:r>
            <w:r>
              <w:t xml:space="preserve"> </w:t>
            </w:r>
            <w:r w:rsidRPr="00785086">
              <w:rPr>
                <w:i/>
                <w:iCs/>
              </w:rPr>
              <w:t>Karbon</w:t>
            </w:r>
            <w:r>
              <w:t xml:space="preserve"> or “</w:t>
            </w:r>
            <w:r w:rsidRPr="004E0CCB">
              <w:rPr>
                <w:b/>
                <w:bCs/>
              </w:rPr>
              <w:t>NEK</w:t>
            </w:r>
            <w:r>
              <w:t>”</w:t>
            </w:r>
            <w:r w:rsidRPr="00785086">
              <w:t>)</w:t>
            </w:r>
            <w:r w:rsidRPr="004E0CCB">
              <w:t xml:space="preserve"> in Indonesia to support achieving the country’s </w:t>
            </w:r>
            <w:r w:rsidRPr="00785086">
              <w:t>Nationally Determined Contribution (NDC)</w:t>
            </w:r>
            <w:r w:rsidRPr="004E0CCB">
              <w:t xml:space="preserve"> by reducing greenhouse gas emissions by </w:t>
            </w:r>
            <w:r w:rsidRPr="00785086">
              <w:t>29 % to 41 % by 2030</w:t>
            </w:r>
            <w:r w:rsidRPr="004E0CCB">
              <w:t xml:space="preserve"> and to operationalize the mandates of </w:t>
            </w:r>
            <w:r w:rsidRPr="00785086">
              <w:t>Presidential Regulation No. 98 of 2021</w:t>
            </w:r>
            <w:r w:rsidRPr="004E0CCB">
              <w:t xml:space="preserve">. </w:t>
            </w:r>
          </w:p>
          <w:p w14:paraId="6D93F102" w14:textId="28DDF9BA" w:rsidR="00250987" w:rsidRDefault="004E0CCB" w:rsidP="00785086">
            <w:pPr>
              <w:jc w:val="both"/>
            </w:pPr>
            <w:r>
              <w:t>This policy tool</w:t>
            </w:r>
            <w:r w:rsidRPr="004E0CCB">
              <w:t xml:space="preserve"> provides a detailed framework for mechanisms such as </w:t>
            </w:r>
            <w:r w:rsidRPr="00785086">
              <w:t>carbon trading (domestic and international)</w:t>
            </w:r>
            <w:r w:rsidRPr="004E0CCB">
              <w:t xml:space="preserve">, </w:t>
            </w:r>
            <w:r w:rsidRPr="00785086">
              <w:t>result</w:t>
            </w:r>
            <w:r w:rsidRPr="00785086">
              <w:noBreakHyphen/>
              <w:t>based payments</w:t>
            </w:r>
            <w:r w:rsidRPr="004E0CCB">
              <w:t xml:space="preserve">, and </w:t>
            </w:r>
            <w:r w:rsidRPr="00785086">
              <w:t>carbon levies</w:t>
            </w:r>
            <w:r w:rsidRPr="004E0CCB">
              <w:t xml:space="preserve">, while also covering </w:t>
            </w:r>
            <w:r w:rsidRPr="00785086">
              <w:t>measurement, reporting, and verification (MRV)</w:t>
            </w:r>
            <w:r w:rsidRPr="004E0CCB">
              <w:t xml:space="preserve"> systems, certification of emission reductions, registry management, and governance</w:t>
            </w:r>
            <w:r>
              <w:t xml:space="preserve"> </w:t>
            </w:r>
            <w:r w:rsidRPr="004E0CCB">
              <w:t>including public participation and fund management for carbon trading activities</w:t>
            </w:r>
          </w:p>
          <w:p w14:paraId="18257824" w14:textId="2CD2F9E9" w:rsidR="00250987" w:rsidRDefault="00250987" w:rsidP="00093CA9"/>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347E6EB1" w:rsidR="00093CA9" w:rsidRDefault="00250987"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7AD7F41A" w:rsidR="00093CA9" w:rsidRPr="00173D7C" w:rsidRDefault="00250987" w:rsidP="00093CA9">
            <w:pPr>
              <w:rPr>
                <w:color w:val="000000" w:themeColor="text1"/>
              </w:rPr>
            </w:pPr>
            <w:r>
              <w:rPr>
                <w:color w:val="000000" w:themeColor="text1"/>
              </w:rPr>
              <w:t>October 20, 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7AAA4642" w:rsidR="00093CA9" w:rsidRDefault="009E3391" w:rsidP="00093CA9">
            <w:r>
              <w:t>Ministry of Environment and Forestry (“</w:t>
            </w:r>
            <w:r w:rsidRPr="00785086">
              <w:rPr>
                <w:b/>
                <w:bCs/>
              </w:rPr>
              <w:t>MOEF</w:t>
            </w:r>
            <w:r>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E5A163B" w:rsidR="00093CA9" w:rsidRPr="006B7B0D" w:rsidRDefault="009E3391" w:rsidP="00093CA9">
            <w:r>
              <w:t xml:space="preserve">MOEF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99C91D9" w:rsidR="00093CA9" w:rsidRPr="006B7B0D" w:rsidRDefault="009E3391"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lastRenderedPageBreak/>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lastRenderedPageBreak/>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3D48C1"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3D48C1"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3D48C1"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542604C0" w:rsidR="00D4323A" w:rsidRPr="00CF2E7C" w:rsidRDefault="004E0CCB" w:rsidP="00CF2E7C">
            <w:pPr>
              <w:rPr>
                <w:rFonts w:ascii="Calibri" w:hAnsi="Calibri" w:cs="Calibri"/>
              </w:rPr>
            </w:pPr>
            <w:r>
              <w:rPr>
                <w:rFonts w:ascii="Calibri" w:hAnsi="Calibri" w:cs="Calibri"/>
              </w:rPr>
              <w:t>X</w:t>
            </w: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261DC8E7" w:rsidR="00D4323A" w:rsidRPr="00CF2E7C" w:rsidRDefault="004E0CCB" w:rsidP="00CF2E7C">
            <w:pP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6909F583" w:rsidR="00D4323A" w:rsidRPr="00CF2E7C" w:rsidRDefault="004E0CCB"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14988E3F" w:rsidR="00D4323A" w:rsidRPr="00CF2E7C" w:rsidRDefault="004E0CCB" w:rsidP="00CF2E7C">
            <w:pPr>
              <w:rPr>
                <w:rFonts w:ascii="Calibri" w:hAnsi="Calibri" w:cs="Calibri"/>
              </w:rPr>
            </w:pPr>
            <w:r>
              <w:rPr>
                <w:rFonts w:ascii="Calibri" w:hAnsi="Calibri" w:cs="Calibri"/>
              </w:rPr>
              <w:t>X</w:t>
            </w: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045EAFB3" w:rsidR="00D4323A" w:rsidRPr="00CF2E7C" w:rsidRDefault="008D72FB" w:rsidP="00CF2E7C">
            <w:pPr>
              <w:rPr>
                <w:rFonts w:ascii="Calibri" w:hAnsi="Calibri" w:cs="Calibri"/>
              </w:rPr>
            </w:pPr>
            <w:r>
              <w:rPr>
                <w:rFonts w:ascii="Calibri" w:hAnsi="Calibri" w:cs="Calibri"/>
              </w:rPr>
              <w:t>X</w:t>
            </w: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4C98C121"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42E96C3C" w:rsidR="00D4323A" w:rsidRPr="00CF2E7C" w:rsidRDefault="004E0CCB"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18E98CC2" w:rsidR="00D4323A" w:rsidRPr="00CF2E7C" w:rsidRDefault="004E0CCB"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46F2AB4C" w:rsidR="00D4323A" w:rsidRPr="00CF2E7C" w:rsidRDefault="00001E06" w:rsidP="00CF2E7C">
            <w:pPr>
              <w:rPr>
                <w:rFonts w:ascii="Calibri" w:hAnsi="Calibri" w:cs="Calibri"/>
              </w:rPr>
            </w:pPr>
            <w:r>
              <w:rPr>
                <w:rFonts w:ascii="Calibri" w:hAnsi="Calibri" w:cs="Calibri"/>
              </w:rPr>
              <w:t>X</w:t>
            </w: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0E8A0AD6"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26C7924D" w:rsidR="00D4323A" w:rsidRPr="00CF2E7C" w:rsidRDefault="00001E06" w:rsidP="00CF2E7C">
            <w:pPr>
              <w:rPr>
                <w:rFonts w:ascii="Calibri" w:hAnsi="Calibri" w:cs="Calibri"/>
              </w:rPr>
            </w:pPr>
            <w:r>
              <w:rPr>
                <w:rFonts w:ascii="Calibri" w:hAnsi="Calibri" w:cs="Calibri"/>
              </w:rPr>
              <w:t>X</w:t>
            </w: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3ABDEE00"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3FB91CEF" w:rsidR="00D4323A" w:rsidRPr="00CF2E7C" w:rsidRDefault="00001E06" w:rsidP="00CF2E7C">
            <w:pPr>
              <w:rPr>
                <w:rFonts w:ascii="Calibri" w:hAnsi="Calibri" w:cs="Calibri"/>
              </w:rPr>
            </w:pPr>
            <w:r>
              <w:rPr>
                <w:rFonts w:ascii="Calibri" w:hAnsi="Calibri" w:cs="Calibri"/>
              </w:rPr>
              <w:t>X</w:t>
            </w: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50E33A1E"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25905BAD" w:rsidR="00D4323A" w:rsidRPr="00CF2E7C" w:rsidRDefault="004E0CCB"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19FB8672" w:rsidR="00D4323A" w:rsidRPr="00CF2E7C" w:rsidRDefault="004E0CCB" w:rsidP="00CF2E7C">
            <w:pPr>
              <w:rPr>
                <w:rFonts w:ascii="Calibri" w:hAnsi="Calibri" w:cs="Calibri"/>
              </w:rPr>
            </w:pPr>
            <w:r>
              <w:rPr>
                <w:rFonts w:ascii="Calibri" w:hAnsi="Calibri" w:cs="Calibri"/>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37C7274F" w:rsidR="00D4323A" w:rsidRPr="00CF2E7C" w:rsidRDefault="004E0CCB" w:rsidP="00CF2E7C">
            <w:pPr>
              <w:rPr>
                <w:rFonts w:ascii="Calibri" w:hAnsi="Calibri" w:cs="Calibri"/>
              </w:rPr>
            </w:pPr>
            <w:r>
              <w:rPr>
                <w:rFonts w:ascii="Calibri" w:hAnsi="Calibri" w:cs="Calibri"/>
              </w:rPr>
              <w:t>X</w:t>
            </w: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4A50CD1C" w:rsidR="00092534" w:rsidRPr="00CF2E7C" w:rsidRDefault="008D72FB" w:rsidP="00CF2E7C">
            <w:pPr>
              <w:rPr>
                <w:rFonts w:ascii="Calibri" w:hAnsi="Calibri" w:cs="Calibri"/>
              </w:rPr>
            </w:pPr>
            <w:r>
              <w:rPr>
                <w:rFonts w:ascii="Calibri" w:hAnsi="Calibri" w:cs="Calibri"/>
              </w:rPr>
              <w:t>X</w:t>
            </w: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005FCFB1" w:rsidR="00092534" w:rsidRPr="00CF2E7C" w:rsidRDefault="008D72FB" w:rsidP="00CF2E7C">
            <w:pPr>
              <w:rPr>
                <w:rFonts w:ascii="Calibri" w:hAnsi="Calibri" w:cs="Calibri"/>
              </w:rPr>
            </w:pPr>
            <w:r>
              <w:rPr>
                <w:rFonts w:ascii="Calibri" w:hAnsi="Calibri" w:cs="Calibri"/>
              </w:rPr>
              <w:t>X</w:t>
            </w: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03D585D0" w:rsidR="00092534" w:rsidRPr="00CF2E7C" w:rsidRDefault="008D72FB" w:rsidP="00CF2E7C">
            <w:pPr>
              <w:rPr>
                <w:rFonts w:ascii="Calibri" w:hAnsi="Calibri" w:cs="Calibri"/>
              </w:rPr>
            </w:pPr>
            <w:r>
              <w:rPr>
                <w:rFonts w:ascii="Calibri" w:hAnsi="Calibri" w:cs="Calibri"/>
              </w:rPr>
              <w:t>X</w:t>
            </w: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4F04C974" w:rsidR="00092534" w:rsidRPr="00CF2E7C" w:rsidRDefault="008D72FB" w:rsidP="00CF2E7C">
            <w:pPr>
              <w:rPr>
                <w:rFonts w:ascii="Calibri" w:hAnsi="Calibri" w:cs="Calibri"/>
              </w:rPr>
            </w:pPr>
            <w:r>
              <w:rPr>
                <w:rFonts w:ascii="Calibri" w:hAnsi="Calibri" w:cs="Calibri"/>
              </w:rPr>
              <w:t>X</w:t>
            </w: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1B92CBAE" w:rsidR="00092534" w:rsidRPr="00CF2E7C" w:rsidRDefault="008D72FB" w:rsidP="00CF2E7C">
            <w:pPr>
              <w:rPr>
                <w:rFonts w:ascii="Calibri" w:hAnsi="Calibri" w:cs="Calibri"/>
              </w:rPr>
            </w:pPr>
            <w:r>
              <w:rPr>
                <w:rFonts w:ascii="Calibri" w:hAnsi="Calibri" w:cs="Calibri"/>
              </w:rPr>
              <w:t>X</w:t>
            </w: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2D155F7E" w:rsidR="00092534" w:rsidRPr="00CF2E7C" w:rsidRDefault="008D72FB" w:rsidP="00CF2E7C">
            <w:pPr>
              <w:rPr>
                <w:rFonts w:ascii="Calibri" w:hAnsi="Calibri" w:cs="Calibri"/>
              </w:rPr>
            </w:pPr>
            <w:r>
              <w:rPr>
                <w:rFonts w:ascii="Calibri" w:hAnsi="Calibri" w:cs="Calibri"/>
              </w:rPr>
              <w:t>X</w:t>
            </w: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59C2EF41" w:rsidR="00092534" w:rsidRPr="00CF2E7C" w:rsidRDefault="008D72FB" w:rsidP="00CF2E7C">
            <w:pPr>
              <w:rPr>
                <w:rFonts w:ascii="Calibri" w:hAnsi="Calibri" w:cs="Calibri"/>
              </w:rPr>
            </w:pPr>
            <w:r>
              <w:rPr>
                <w:rFonts w:ascii="Calibri" w:hAnsi="Calibri" w:cs="Calibri"/>
              </w:rPr>
              <w:t>X</w:t>
            </w: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1ADD8DEC"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0D3BD420" w:rsidR="00092534" w:rsidRPr="00CF2E7C" w:rsidRDefault="008D72FB" w:rsidP="00CF2E7C">
            <w:pPr>
              <w:rPr>
                <w:rFonts w:ascii="Calibri" w:hAnsi="Calibri" w:cs="Calibri"/>
              </w:rPr>
            </w:pPr>
            <w:r>
              <w:rPr>
                <w:rFonts w:ascii="Calibri" w:hAnsi="Calibri" w:cs="Calibri"/>
              </w:rPr>
              <w:t>X</w:t>
            </w: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21A1E4D4" w:rsidR="00092534" w:rsidRPr="00CF2E7C" w:rsidRDefault="008D72FB" w:rsidP="00CF2E7C">
            <w:pPr>
              <w:rPr>
                <w:rFonts w:ascii="Calibri" w:hAnsi="Calibri" w:cs="Calibri"/>
              </w:rPr>
            </w:pPr>
            <w:r>
              <w:rPr>
                <w:rFonts w:ascii="Calibri" w:hAnsi="Calibri" w:cs="Calibri"/>
              </w:rPr>
              <w:t>X</w:t>
            </w: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3EAB462E" w:rsidR="00092534" w:rsidRPr="00CF2E7C" w:rsidRDefault="008D72FB" w:rsidP="00CF2E7C">
            <w:pPr>
              <w:rPr>
                <w:rFonts w:ascii="Calibri" w:hAnsi="Calibri" w:cs="Calibri"/>
              </w:rPr>
            </w:pPr>
            <w:r>
              <w:rPr>
                <w:rFonts w:ascii="Calibri" w:hAnsi="Calibri" w:cs="Calibri"/>
              </w:rPr>
              <w:t>X</w:t>
            </w: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50C59A9C" w:rsidR="00092534" w:rsidRPr="00CF2E7C" w:rsidRDefault="008D72FB" w:rsidP="00CF2E7C">
            <w:pPr>
              <w:rPr>
                <w:rFonts w:ascii="Calibri" w:hAnsi="Calibri" w:cs="Calibri"/>
              </w:rPr>
            </w:pPr>
            <w:r>
              <w:rPr>
                <w:rFonts w:ascii="Calibri" w:hAnsi="Calibri" w:cs="Calibri"/>
              </w:rPr>
              <w:t>X</w:t>
            </w: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2FB2A7C2" w:rsidR="00092534" w:rsidRPr="00CF2E7C" w:rsidRDefault="008D72FB" w:rsidP="00CF2E7C">
            <w:pPr>
              <w:rPr>
                <w:rFonts w:ascii="Calibri" w:hAnsi="Calibri" w:cs="Calibri"/>
              </w:rPr>
            </w:pPr>
            <w:r>
              <w:rPr>
                <w:rFonts w:ascii="Calibri" w:hAnsi="Calibri" w:cs="Calibri"/>
              </w:rPr>
              <w:t>X</w:t>
            </w: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43A91012" w:rsidR="00092534" w:rsidRPr="00CF2E7C" w:rsidRDefault="008D72FB" w:rsidP="00CF2E7C">
            <w:pPr>
              <w:rPr>
                <w:rFonts w:ascii="Calibri" w:hAnsi="Calibri" w:cs="Calibri"/>
              </w:rPr>
            </w:pPr>
            <w:r>
              <w:rPr>
                <w:rFonts w:ascii="Calibri" w:hAnsi="Calibri" w:cs="Calibri"/>
              </w:rPr>
              <w:t>X</w:t>
            </w: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3C408838" w:rsidR="00092534" w:rsidRPr="00CF2E7C" w:rsidRDefault="008D72FB" w:rsidP="00CF2E7C">
            <w:pPr>
              <w:rPr>
                <w:rFonts w:ascii="Calibri" w:hAnsi="Calibri" w:cs="Calibri"/>
              </w:rPr>
            </w:pPr>
            <w:r>
              <w:rPr>
                <w:rFonts w:ascii="Calibri" w:hAnsi="Calibri" w:cs="Calibri"/>
              </w:rPr>
              <w:t>X</w:t>
            </w: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1369C768" w:rsidR="00092534" w:rsidRPr="00CF2E7C" w:rsidRDefault="008D72FB" w:rsidP="00CF2E7C">
            <w:pPr>
              <w:rPr>
                <w:rFonts w:ascii="Calibri" w:hAnsi="Calibri" w:cs="Calibri"/>
              </w:rPr>
            </w:pPr>
            <w:r>
              <w:rPr>
                <w:rFonts w:ascii="Calibri" w:hAnsi="Calibri" w:cs="Calibri"/>
              </w:rPr>
              <w:t>X</w:t>
            </w: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4F875EA5" w:rsidR="00092534" w:rsidRPr="00CF2E7C" w:rsidRDefault="008D72FB" w:rsidP="00CF2E7C">
            <w:pPr>
              <w:rPr>
                <w:rFonts w:ascii="Calibri" w:hAnsi="Calibri" w:cs="Calibri"/>
              </w:rPr>
            </w:pPr>
            <w:r>
              <w:rPr>
                <w:rFonts w:ascii="Calibri" w:hAnsi="Calibri" w:cs="Calibri"/>
              </w:rPr>
              <w:t>X</w:t>
            </w: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6ABD5DE3" w:rsidR="00092534" w:rsidRPr="00CF2E7C" w:rsidRDefault="008D72FB" w:rsidP="00CF2E7C">
            <w:pPr>
              <w:rPr>
                <w:rFonts w:ascii="Calibri" w:hAnsi="Calibri" w:cs="Calibri"/>
              </w:rPr>
            </w:pPr>
            <w:r>
              <w:rPr>
                <w:rFonts w:ascii="Calibri" w:hAnsi="Calibri" w:cs="Calibri"/>
              </w:rPr>
              <w:t>X</w:t>
            </w: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B376549" w:rsidR="00092534" w:rsidRPr="00CF2E7C" w:rsidRDefault="008D72FB" w:rsidP="00CF2E7C">
            <w:pPr>
              <w:rPr>
                <w:rFonts w:ascii="Calibri" w:hAnsi="Calibri" w:cs="Calibri"/>
              </w:rPr>
            </w:pPr>
            <w:r>
              <w:rPr>
                <w:rFonts w:ascii="Calibri" w:hAnsi="Calibri" w:cs="Calibri"/>
              </w:rPr>
              <w:t>X</w:t>
            </w: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241CE58E" w:rsidR="00092534" w:rsidRPr="00CF2E7C" w:rsidRDefault="008D72FB" w:rsidP="00CF2E7C">
            <w:pPr>
              <w:rPr>
                <w:rFonts w:ascii="Calibri" w:hAnsi="Calibri" w:cs="Calibri"/>
              </w:rPr>
            </w:pPr>
            <w:r>
              <w:rPr>
                <w:rFonts w:ascii="Calibri" w:hAnsi="Calibri" w:cs="Calibri"/>
              </w:rPr>
              <w:t>X</w:t>
            </w: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6471A5B8" w:rsidR="00092534" w:rsidRPr="00CF2E7C" w:rsidRDefault="008D72FB" w:rsidP="00CF2E7C">
            <w:pPr>
              <w:rPr>
                <w:rFonts w:ascii="Calibri" w:hAnsi="Calibri" w:cs="Calibri"/>
              </w:rPr>
            </w:pPr>
            <w:r>
              <w:rPr>
                <w:rFonts w:ascii="Calibri" w:hAnsi="Calibri" w:cs="Calibri"/>
              </w:rPr>
              <w:t>X</w:t>
            </w: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5C974560" w:rsidR="00092534" w:rsidRPr="00CF2E7C" w:rsidRDefault="008D72FB" w:rsidP="00CF2E7C">
            <w:pPr>
              <w:rPr>
                <w:rFonts w:ascii="Calibri" w:hAnsi="Calibri" w:cs="Calibri"/>
              </w:rPr>
            </w:pPr>
            <w:r>
              <w:rPr>
                <w:rFonts w:ascii="Calibri" w:hAnsi="Calibri" w:cs="Calibri"/>
              </w:rPr>
              <w:t>X</w:t>
            </w: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0CDDFDE0" w:rsidR="00092534" w:rsidRPr="00CF2E7C" w:rsidRDefault="008D72FB" w:rsidP="00CF2E7C">
            <w:pPr>
              <w:rPr>
                <w:rFonts w:ascii="Calibri" w:hAnsi="Calibri" w:cs="Calibri"/>
              </w:rPr>
            </w:pPr>
            <w:r>
              <w:rPr>
                <w:rFonts w:ascii="Calibri" w:hAnsi="Calibri" w:cs="Calibri"/>
              </w:rPr>
              <w:t>X</w:t>
            </w: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D984387" w:rsidR="00092534" w:rsidRPr="00CF2E7C" w:rsidRDefault="008D72FB" w:rsidP="00CF2E7C">
            <w:pPr>
              <w:rPr>
                <w:rFonts w:ascii="Calibri" w:hAnsi="Calibri" w:cs="Calibri"/>
              </w:rPr>
            </w:pPr>
            <w:r>
              <w:rPr>
                <w:rFonts w:ascii="Calibri" w:hAnsi="Calibri" w:cs="Calibri"/>
              </w:rPr>
              <w:t>X</w:t>
            </w: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49274D18" w:rsidR="00092534" w:rsidRPr="00CF2E7C" w:rsidRDefault="008D72FB" w:rsidP="00CF2E7C">
            <w:pPr>
              <w:rPr>
                <w:rFonts w:ascii="Calibri" w:hAnsi="Calibri" w:cs="Calibri"/>
              </w:rPr>
            </w:pPr>
            <w:r>
              <w:rPr>
                <w:rFonts w:ascii="Calibri" w:hAnsi="Calibri" w:cs="Calibri"/>
              </w:rPr>
              <w:t>X</w:t>
            </w: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23F6F755" w:rsidR="00092534" w:rsidRPr="00CF2E7C" w:rsidRDefault="008D72FB" w:rsidP="00CF2E7C">
            <w:pPr>
              <w:rPr>
                <w:rFonts w:ascii="Calibri" w:hAnsi="Calibri" w:cs="Calibri"/>
              </w:rPr>
            </w:pPr>
            <w:r>
              <w:rPr>
                <w:rFonts w:ascii="Calibri" w:hAnsi="Calibri" w:cs="Calibri"/>
              </w:rPr>
              <w:t>X</w:t>
            </w: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65893AD7" w:rsidR="00092534" w:rsidRPr="00CF2E7C" w:rsidRDefault="008D72FB" w:rsidP="00CF2E7C">
            <w:pPr>
              <w:rPr>
                <w:rFonts w:ascii="Calibri" w:hAnsi="Calibri" w:cs="Calibri"/>
              </w:rPr>
            </w:pPr>
            <w:r>
              <w:rPr>
                <w:rFonts w:ascii="Calibri" w:hAnsi="Calibri" w:cs="Calibri"/>
              </w:rPr>
              <w:t>X</w:t>
            </w: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4C7BDE33" w:rsidR="00092534" w:rsidRPr="00CF2E7C" w:rsidRDefault="0057602F" w:rsidP="00CF2E7C">
            <w:pPr>
              <w:rPr>
                <w:rFonts w:ascii="Calibri" w:hAnsi="Calibri" w:cs="Calibri"/>
              </w:rPr>
            </w:pPr>
            <w:r>
              <w:rPr>
                <w:rFonts w:ascii="Calibri" w:hAnsi="Calibri" w:cs="Calibri"/>
              </w:rPr>
              <w:t>X</w:t>
            </w: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3A66D7E7" w14:textId="6F9BEC75" w:rsidR="0027150E" w:rsidRDefault="00001E06" w:rsidP="00CF2E7C">
            <w:pPr>
              <w:rPr>
                <w:rFonts w:ascii="Calibri" w:hAnsi="Calibri" w:cs="Calibri"/>
              </w:rPr>
            </w:pPr>
            <w:r>
              <w:rPr>
                <w:rFonts w:ascii="Calibri" w:hAnsi="Calibri" w:cs="Calibri"/>
              </w:rPr>
              <w:t>This policy tool specifies the duty for the targeted entities as follow:</w:t>
            </w:r>
          </w:p>
          <w:p w14:paraId="76495D6E" w14:textId="10F9E22D" w:rsidR="00785598" w:rsidRPr="00785086" w:rsidRDefault="00001E06" w:rsidP="006F7EC1">
            <w:pPr>
              <w:pStyle w:val="ListParagraph"/>
              <w:numPr>
                <w:ilvl w:val="0"/>
                <w:numId w:val="49"/>
              </w:numPr>
              <w:jc w:val="both"/>
              <w:rPr>
                <w:rFonts w:ascii="Calibri" w:hAnsi="Calibri" w:cs="Calibri"/>
                <w:lang w:val="en-US"/>
              </w:rPr>
            </w:pPr>
            <w:r>
              <w:rPr>
                <w:rFonts w:ascii="Calibri" w:hAnsi="Calibri" w:cs="Calibri"/>
              </w:rPr>
              <w:t>Companies:</w:t>
            </w:r>
            <w:r w:rsidR="002E4AFD">
              <w:rPr>
                <w:rFonts w:ascii="Calibri" w:hAnsi="Calibri" w:cs="Calibri"/>
              </w:rPr>
              <w:t xml:space="preserve"> Pursuant to Article 3(1) of the </w:t>
            </w:r>
            <w:r w:rsidR="0073269E">
              <w:rPr>
                <w:rFonts w:ascii="Calibri" w:hAnsi="Calibri" w:cs="Calibri"/>
              </w:rPr>
              <w:t>p</w:t>
            </w:r>
            <w:r w:rsidR="002E4AFD">
              <w:rPr>
                <w:rFonts w:ascii="Calibri" w:hAnsi="Calibri" w:cs="Calibri"/>
              </w:rPr>
              <w:t xml:space="preserve">olicy </w:t>
            </w:r>
            <w:r w:rsidR="0073269E">
              <w:rPr>
                <w:rFonts w:ascii="Calibri" w:hAnsi="Calibri" w:cs="Calibri"/>
              </w:rPr>
              <w:t>t</w:t>
            </w:r>
            <w:r w:rsidR="002E4AFD">
              <w:rPr>
                <w:rFonts w:ascii="Calibri" w:hAnsi="Calibri" w:cs="Calibri"/>
              </w:rPr>
              <w:t xml:space="preserve">ool, the organization of </w:t>
            </w:r>
            <w:r w:rsidR="00C41E04">
              <w:rPr>
                <w:rFonts w:ascii="Calibri" w:hAnsi="Calibri" w:cs="Calibri"/>
              </w:rPr>
              <w:t xml:space="preserve">NEK shall </w:t>
            </w:r>
            <w:r w:rsidR="002E4AFD">
              <w:rPr>
                <w:rFonts w:ascii="Calibri" w:hAnsi="Calibri" w:cs="Calibri"/>
              </w:rPr>
              <w:t xml:space="preserve">be implemented by Business Actors which includes </w:t>
            </w:r>
            <w:r w:rsidR="002E4AFD" w:rsidRPr="002E4AFD">
              <w:rPr>
                <w:rFonts w:ascii="Calibri" w:hAnsi="Calibri" w:cs="Calibri"/>
              </w:rPr>
              <w:t>individuals or business entities conducting business and/or activities in certain fields.</w:t>
            </w:r>
            <w:r w:rsidR="002E4AFD">
              <w:rPr>
                <w:rFonts w:ascii="Calibri" w:hAnsi="Calibri" w:cs="Calibri"/>
              </w:rPr>
              <w:t xml:space="preserve"> </w:t>
            </w:r>
            <w:r w:rsidR="006F7EC1">
              <w:rPr>
                <w:rFonts w:ascii="Calibri" w:hAnsi="Calibri" w:cs="Calibri"/>
              </w:rPr>
              <w:t>Furthermore, u</w:t>
            </w:r>
            <w:r w:rsidR="002E4AFD" w:rsidRPr="002E4AFD">
              <w:rPr>
                <w:rFonts w:ascii="Calibri" w:hAnsi="Calibri" w:cs="Calibri"/>
              </w:rPr>
              <w:t xml:space="preserve">nder Article 5 </w:t>
            </w:r>
            <w:r w:rsidR="002E4AFD">
              <w:rPr>
                <w:rFonts w:ascii="Calibri" w:hAnsi="Calibri" w:cs="Calibri"/>
              </w:rPr>
              <w:t xml:space="preserve">(1) of the </w:t>
            </w:r>
            <w:r w:rsidR="0073269E">
              <w:rPr>
                <w:rFonts w:ascii="Calibri" w:hAnsi="Calibri" w:cs="Calibri"/>
              </w:rPr>
              <w:t>p</w:t>
            </w:r>
            <w:r w:rsidR="002E4AFD">
              <w:rPr>
                <w:rFonts w:ascii="Calibri" w:hAnsi="Calibri" w:cs="Calibri"/>
              </w:rPr>
              <w:t xml:space="preserve">olicy </w:t>
            </w:r>
            <w:r w:rsidR="0073269E">
              <w:rPr>
                <w:rFonts w:ascii="Calibri" w:hAnsi="Calibri" w:cs="Calibri"/>
              </w:rPr>
              <w:t>t</w:t>
            </w:r>
            <w:r w:rsidR="002E4AFD">
              <w:rPr>
                <w:rFonts w:ascii="Calibri" w:hAnsi="Calibri" w:cs="Calibri"/>
              </w:rPr>
              <w:t>ool</w:t>
            </w:r>
            <w:r w:rsidR="002E4AFD" w:rsidRPr="002E4AFD">
              <w:rPr>
                <w:rFonts w:ascii="Calibri" w:hAnsi="Calibri" w:cs="Calibri"/>
              </w:rPr>
              <w:t xml:space="preserve">, Emissions Trading applies to businesses and/or activities that have Upper Greenhouse Gas (GHG) Emissions Limits, which are determined through the PTBAE (Technical Approval of Upper Emissions Limits). </w:t>
            </w:r>
            <w:r w:rsidR="006F7EC1">
              <w:rPr>
                <w:rFonts w:ascii="Calibri" w:hAnsi="Calibri" w:cs="Calibri"/>
              </w:rPr>
              <w:t>Hence, companies</w:t>
            </w:r>
            <w:r w:rsidR="002E4AFD" w:rsidRPr="002E4AFD">
              <w:rPr>
                <w:rFonts w:ascii="Calibri" w:hAnsi="Calibri" w:cs="Calibri"/>
              </w:rPr>
              <w:t xml:space="preserve"> are required to trade carbon credits if their emissions exceed the established limits, while those with lower emissions can sell their surplus credits.</w:t>
            </w:r>
            <w:r w:rsidR="00785598">
              <w:rPr>
                <w:rFonts w:ascii="Calibri" w:hAnsi="Calibri" w:cs="Calibri"/>
              </w:rPr>
              <w:t xml:space="preserve"> </w:t>
            </w:r>
          </w:p>
          <w:p w14:paraId="402C93E3" w14:textId="0EEEB2AD" w:rsidR="00785598" w:rsidRPr="00785086" w:rsidRDefault="00785598" w:rsidP="00785086">
            <w:pPr>
              <w:pStyle w:val="ListParagraph"/>
              <w:jc w:val="both"/>
              <w:rPr>
                <w:rFonts w:ascii="Calibri" w:hAnsi="Calibri" w:cs="Calibri"/>
                <w:lang w:val="en-US"/>
              </w:rPr>
            </w:pPr>
            <w:r>
              <w:rPr>
                <w:rFonts w:ascii="Calibri" w:hAnsi="Calibri" w:cs="Calibri"/>
              </w:rPr>
              <w:t xml:space="preserve">In addition, </w:t>
            </w:r>
            <w:r w:rsidRPr="00785598">
              <w:rPr>
                <w:rFonts w:ascii="Calibri" w:hAnsi="Calibri" w:cs="Calibri"/>
              </w:rPr>
              <w:t xml:space="preserve">in accordance with Article 11, business actors are required to measure actual emissions at the end of the compliance period using a methodology determined </w:t>
            </w:r>
            <w:r w:rsidRPr="00785598">
              <w:rPr>
                <w:rFonts w:ascii="Calibri" w:hAnsi="Calibri" w:cs="Calibri"/>
              </w:rPr>
              <w:lastRenderedPageBreak/>
              <w:t>by the Director-General, the National Standardization Agency, or agreed upon by UNFCCC parties. Based on these measurements, they must prepare a report detailing the implementation of PTBAE-PU, which includes actual emissions data and the remaining Upper GRK Emissions Limits after deducting actual emissions.</w:t>
            </w:r>
            <w:r>
              <w:rPr>
                <w:rFonts w:ascii="Calibri" w:hAnsi="Calibri" w:cs="Calibri"/>
              </w:rPr>
              <w:t xml:space="preserve"> </w:t>
            </w:r>
            <w:r w:rsidRPr="00785598">
              <w:rPr>
                <w:rFonts w:ascii="Calibri" w:hAnsi="Calibri" w:cs="Calibri"/>
              </w:rPr>
              <w:t xml:space="preserve">PTBAE-PU </w:t>
            </w:r>
            <w:r>
              <w:rPr>
                <w:rFonts w:ascii="Calibri" w:hAnsi="Calibri" w:cs="Calibri"/>
              </w:rPr>
              <w:t xml:space="preserve">or </w:t>
            </w:r>
            <w:proofErr w:type="spellStart"/>
            <w:r w:rsidRPr="00785086">
              <w:rPr>
                <w:rFonts w:ascii="Calibri" w:hAnsi="Calibri" w:cs="Calibri"/>
                <w:i/>
                <w:iCs/>
              </w:rPr>
              <w:t>Persetujuan</w:t>
            </w:r>
            <w:proofErr w:type="spellEnd"/>
            <w:r w:rsidRPr="00785086">
              <w:rPr>
                <w:rFonts w:ascii="Calibri" w:hAnsi="Calibri" w:cs="Calibri"/>
                <w:i/>
                <w:iCs/>
              </w:rPr>
              <w:t xml:space="preserve"> Teknis Batas Atas </w:t>
            </w:r>
            <w:proofErr w:type="spellStart"/>
            <w:r w:rsidRPr="00785086">
              <w:rPr>
                <w:rFonts w:ascii="Calibri" w:hAnsi="Calibri" w:cs="Calibri"/>
                <w:i/>
                <w:iCs/>
              </w:rPr>
              <w:t>Emisi</w:t>
            </w:r>
            <w:proofErr w:type="spellEnd"/>
            <w:r w:rsidRPr="00785086">
              <w:rPr>
                <w:rFonts w:ascii="Calibri" w:hAnsi="Calibri" w:cs="Calibri"/>
                <w:i/>
                <w:iCs/>
              </w:rPr>
              <w:t xml:space="preserve"> GRK </w:t>
            </w:r>
            <w:proofErr w:type="spellStart"/>
            <w:r w:rsidRPr="00785086">
              <w:rPr>
                <w:rFonts w:ascii="Calibri" w:hAnsi="Calibri" w:cs="Calibri"/>
                <w:i/>
                <w:iCs/>
              </w:rPr>
              <w:t>untuk</w:t>
            </w:r>
            <w:proofErr w:type="spellEnd"/>
            <w:r w:rsidRPr="00785086">
              <w:rPr>
                <w:rFonts w:ascii="Calibri" w:hAnsi="Calibri" w:cs="Calibri"/>
                <w:i/>
                <w:iCs/>
              </w:rPr>
              <w:t xml:space="preserve"> </w:t>
            </w:r>
            <w:proofErr w:type="spellStart"/>
            <w:r w:rsidRPr="00785086">
              <w:rPr>
                <w:rFonts w:ascii="Calibri" w:hAnsi="Calibri" w:cs="Calibri"/>
                <w:i/>
                <w:iCs/>
              </w:rPr>
              <w:t>Pelaku</w:t>
            </w:r>
            <w:proofErr w:type="spellEnd"/>
            <w:r w:rsidRPr="00785086">
              <w:rPr>
                <w:rFonts w:ascii="Calibri" w:hAnsi="Calibri" w:cs="Calibri"/>
                <w:i/>
                <w:iCs/>
              </w:rPr>
              <w:t xml:space="preserve"> Usaha</w:t>
            </w:r>
            <w:r w:rsidRPr="00785598">
              <w:rPr>
                <w:rFonts w:ascii="Calibri" w:hAnsi="Calibri" w:cs="Calibri"/>
              </w:rPr>
              <w:t xml:space="preserve"> is a technical approval that establishes the upper limit of greenhouse gas emissions allocated to a business actor for a specific compliance period.</w:t>
            </w:r>
          </w:p>
          <w:p w14:paraId="06A70072" w14:textId="77777777" w:rsidR="00785598" w:rsidRPr="00785086" w:rsidRDefault="00785598" w:rsidP="00785086">
            <w:pPr>
              <w:pStyle w:val="ListParagraph"/>
              <w:jc w:val="both"/>
              <w:rPr>
                <w:rFonts w:ascii="Calibri" w:hAnsi="Calibri" w:cs="Calibri"/>
                <w:lang w:val="en-US"/>
              </w:rPr>
            </w:pPr>
          </w:p>
          <w:p w14:paraId="11F2E749" w14:textId="431524F8" w:rsidR="006F7EC1" w:rsidRPr="006F7EC1" w:rsidRDefault="00785598" w:rsidP="00785086">
            <w:pPr>
              <w:pStyle w:val="ListParagraph"/>
              <w:jc w:val="both"/>
              <w:rPr>
                <w:rFonts w:ascii="Calibri" w:hAnsi="Calibri" w:cs="Calibri"/>
                <w:lang w:val="en-US"/>
              </w:rPr>
            </w:pPr>
            <w:r>
              <w:rPr>
                <w:rFonts w:ascii="Calibri" w:hAnsi="Calibri" w:cs="Calibri"/>
              </w:rPr>
              <w:t>Lastly</w:t>
            </w:r>
            <w:r w:rsidR="006F7EC1">
              <w:rPr>
                <w:rFonts w:ascii="Calibri" w:hAnsi="Calibri" w:cs="Calibri"/>
              </w:rPr>
              <w:t>,</w:t>
            </w:r>
            <w:r>
              <w:rPr>
                <w:rFonts w:ascii="Calibri" w:hAnsi="Calibri" w:cs="Calibri"/>
              </w:rPr>
              <w:t xml:space="preserve"> pursuant to Article 15 of the </w:t>
            </w:r>
            <w:r w:rsidR="0073269E">
              <w:rPr>
                <w:rFonts w:ascii="Calibri" w:hAnsi="Calibri" w:cs="Calibri"/>
              </w:rPr>
              <w:t>p</w:t>
            </w:r>
            <w:r>
              <w:rPr>
                <w:rFonts w:ascii="Calibri" w:hAnsi="Calibri" w:cs="Calibri"/>
              </w:rPr>
              <w:t xml:space="preserve">olicy </w:t>
            </w:r>
            <w:r w:rsidR="0073269E">
              <w:rPr>
                <w:rFonts w:ascii="Calibri" w:hAnsi="Calibri" w:cs="Calibri"/>
              </w:rPr>
              <w:t>t</w:t>
            </w:r>
            <w:r>
              <w:rPr>
                <w:rFonts w:ascii="Calibri" w:hAnsi="Calibri" w:cs="Calibri"/>
              </w:rPr>
              <w:t>ool,</w:t>
            </w:r>
            <w:r w:rsidR="006F7EC1">
              <w:rPr>
                <w:rFonts w:ascii="Calibri" w:hAnsi="Calibri" w:cs="Calibri"/>
              </w:rPr>
              <w:t xml:space="preserve"> </w:t>
            </w:r>
            <w:r>
              <w:rPr>
                <w:rFonts w:ascii="Calibri" w:hAnsi="Calibri" w:cs="Calibri"/>
              </w:rPr>
              <w:t xml:space="preserve">business actors </w:t>
            </w:r>
            <w:r w:rsidR="006F7EC1">
              <w:rPr>
                <w:rFonts w:ascii="Calibri" w:hAnsi="Calibri" w:cs="Calibri"/>
              </w:rPr>
              <w:t xml:space="preserve">must prepare DRAM in conducting GRK Emissions offsets. </w:t>
            </w:r>
            <w:r w:rsidR="006F7EC1" w:rsidRPr="006F7EC1">
              <w:rPr>
                <w:rFonts w:ascii="Calibri" w:hAnsi="Calibri" w:cs="Calibri"/>
                <w:lang w:val="en-US"/>
              </w:rPr>
              <w:t xml:space="preserve">DRAM is a document prepared by business actors outlining their strategies and actions for reducing </w:t>
            </w:r>
            <w:r w:rsidR="006F7EC1">
              <w:rPr>
                <w:rFonts w:ascii="Calibri" w:hAnsi="Calibri" w:cs="Calibri"/>
                <w:lang w:val="en-US"/>
              </w:rPr>
              <w:t xml:space="preserve">GHG </w:t>
            </w:r>
            <w:r w:rsidR="006F7EC1" w:rsidRPr="006F7EC1">
              <w:rPr>
                <w:rFonts w:ascii="Calibri" w:hAnsi="Calibri" w:cs="Calibri"/>
                <w:lang w:val="en-US"/>
              </w:rPr>
              <w:t>emissions, while GRK Emissions Offsets refer to the reduction of emissions carried out by one entity to compensate for emissions generated by another entity.</w:t>
            </w:r>
          </w:p>
          <w:p w14:paraId="68A795CB" w14:textId="67B084B5" w:rsidR="00001E06" w:rsidRPr="00785086" w:rsidRDefault="00001E06" w:rsidP="00785086">
            <w:pPr>
              <w:rPr>
                <w:rFonts w:ascii="Calibri" w:hAnsi="Calibri" w:cs="Calibri"/>
              </w:rPr>
            </w:pPr>
          </w:p>
          <w:p w14:paraId="2433C062" w14:textId="6DC16DAB" w:rsidR="00CC0779" w:rsidRPr="00785086" w:rsidRDefault="00001E06" w:rsidP="00785086">
            <w:pPr>
              <w:pStyle w:val="ListParagraph"/>
              <w:numPr>
                <w:ilvl w:val="0"/>
                <w:numId w:val="49"/>
              </w:numPr>
              <w:jc w:val="both"/>
              <w:rPr>
                <w:rFonts w:ascii="Calibri" w:hAnsi="Calibri" w:cs="Calibri"/>
              </w:rPr>
            </w:pPr>
            <w:r>
              <w:rPr>
                <w:rFonts w:ascii="Calibri" w:hAnsi="Calibri" w:cs="Calibri"/>
              </w:rPr>
              <w:t>Government Agencies (National):</w:t>
            </w:r>
            <w:r w:rsidR="002E4AFD">
              <w:rPr>
                <w:rFonts w:ascii="Calibri" w:hAnsi="Calibri" w:cs="Calibri"/>
              </w:rPr>
              <w:t xml:space="preserve"> </w:t>
            </w:r>
            <w:r w:rsidR="00785598" w:rsidRPr="00785086">
              <w:rPr>
                <w:rFonts w:ascii="Calibri" w:hAnsi="Calibri" w:cs="Calibri"/>
              </w:rPr>
              <w:t>Pursuant to Article 4</w:t>
            </w:r>
            <w:r w:rsidR="00CC0779" w:rsidRPr="00785086">
              <w:rPr>
                <w:rFonts w:ascii="Calibri" w:hAnsi="Calibri" w:cs="Calibri"/>
              </w:rPr>
              <w:t>(3)</w:t>
            </w:r>
            <w:r w:rsidR="00785598" w:rsidRPr="00785086">
              <w:rPr>
                <w:rFonts w:ascii="Calibri" w:hAnsi="Calibri" w:cs="Calibri"/>
              </w:rPr>
              <w:t xml:space="preserve"> of this </w:t>
            </w:r>
            <w:r w:rsidR="0073269E">
              <w:rPr>
                <w:rFonts w:ascii="Calibri" w:hAnsi="Calibri" w:cs="Calibri"/>
              </w:rPr>
              <w:t>p</w:t>
            </w:r>
            <w:r w:rsidR="00785598" w:rsidRPr="00785086">
              <w:rPr>
                <w:rFonts w:ascii="Calibri" w:hAnsi="Calibri" w:cs="Calibri"/>
              </w:rPr>
              <w:t xml:space="preserve">olicy </w:t>
            </w:r>
            <w:r w:rsidR="0073269E">
              <w:rPr>
                <w:rFonts w:ascii="Calibri" w:hAnsi="Calibri" w:cs="Calibri"/>
              </w:rPr>
              <w:t>t</w:t>
            </w:r>
            <w:r w:rsidR="00785598" w:rsidRPr="00785086">
              <w:rPr>
                <w:rFonts w:ascii="Calibri" w:hAnsi="Calibri" w:cs="Calibri"/>
              </w:rPr>
              <w:t xml:space="preserve">ool, </w:t>
            </w:r>
            <w:r w:rsidR="00CC0779" w:rsidRPr="00785086">
              <w:rPr>
                <w:rFonts w:ascii="Calibri" w:hAnsi="Calibri" w:cs="Calibri"/>
              </w:rPr>
              <w:t>the duty of the relevant minister (the minister overseeing the specific sector or sub-sector that is related to the carbon trading activity) as national government agency includes determining and submitting plans and strategies for achieving NDC targets in sectors and sub-sectors to the MOEF, ensuring that foreign Carbon Trading complies with these targets. Additionally, MOEF is responsible for granting authorization for foreign Carbon Trading after the NDC targets in specific sub-sectors or sub-sub-sectors have been achieved. NDC (Nationally Determined Contributions) targets are the emission reduction goals set by Indonesia under the Paris Agreement, outlining the country's commitment to mitigate climate change and achieve specific greenhouse gas reduction targets by 2030.</w:t>
            </w:r>
          </w:p>
          <w:p w14:paraId="5B091242" w14:textId="77777777" w:rsidR="00CC0779" w:rsidRDefault="00CC0779" w:rsidP="00B65876">
            <w:pPr>
              <w:pStyle w:val="ListParagraph"/>
              <w:jc w:val="both"/>
              <w:rPr>
                <w:rFonts w:ascii="Calibri" w:hAnsi="Calibri" w:cs="Calibri"/>
              </w:rPr>
            </w:pPr>
          </w:p>
          <w:p w14:paraId="0EFB92C5" w14:textId="7A3CA5B4" w:rsidR="00CC0779" w:rsidRPr="00785086" w:rsidRDefault="00CC0779" w:rsidP="00B65876">
            <w:pPr>
              <w:pStyle w:val="ListParagraph"/>
              <w:jc w:val="both"/>
              <w:rPr>
                <w:rFonts w:ascii="Calibri" w:hAnsi="Calibri" w:cs="Calibri"/>
                <w:b/>
                <w:bCs/>
                <w:lang w:val="en-US"/>
              </w:rPr>
            </w:pPr>
            <w:r>
              <w:rPr>
                <w:rFonts w:ascii="Calibri" w:hAnsi="Calibri" w:cs="Calibri"/>
              </w:rPr>
              <w:t>Furthermore, u</w:t>
            </w:r>
            <w:proofErr w:type="spellStart"/>
            <w:r w:rsidRPr="00785086">
              <w:rPr>
                <w:rFonts w:ascii="Calibri" w:hAnsi="Calibri" w:cs="Calibri"/>
                <w:lang w:val="en-US"/>
              </w:rPr>
              <w:t>nder</w:t>
            </w:r>
            <w:proofErr w:type="spellEnd"/>
            <w:r w:rsidRPr="00785086">
              <w:rPr>
                <w:rFonts w:ascii="Calibri" w:hAnsi="Calibri" w:cs="Calibri"/>
                <w:lang w:val="en-US"/>
              </w:rPr>
              <w:t xml:space="preserve"> Articles 18 to 20</w:t>
            </w:r>
            <w:r>
              <w:rPr>
                <w:rFonts w:ascii="Calibri" w:hAnsi="Calibri" w:cs="Calibri"/>
                <w:lang w:val="en-US"/>
              </w:rPr>
              <w:t xml:space="preserve"> of this policy tool</w:t>
            </w:r>
            <w:r w:rsidRPr="00785086">
              <w:rPr>
                <w:rFonts w:ascii="Calibri" w:hAnsi="Calibri" w:cs="Calibri"/>
                <w:lang w:val="en-US"/>
              </w:rPr>
              <w:t xml:space="preserve">, the national government agency, in this case, </w:t>
            </w:r>
            <w:r>
              <w:rPr>
                <w:rFonts w:ascii="Calibri" w:hAnsi="Calibri" w:cs="Calibri"/>
                <w:lang w:val="en-US"/>
              </w:rPr>
              <w:t>MOEF</w:t>
            </w:r>
            <w:r w:rsidRPr="00785086">
              <w:rPr>
                <w:rFonts w:ascii="Calibri" w:hAnsi="Calibri" w:cs="Calibri"/>
                <w:lang w:val="en-US"/>
              </w:rPr>
              <w:t>, is responsible for facilitating foreign Carbon Trading by coordinating with relevant authorities, ensuring the achievement of NDC targets in specific sectors and sub-sectors.</w:t>
            </w:r>
            <w:r w:rsidR="00C265B0">
              <w:rPr>
                <w:rFonts w:ascii="Calibri" w:hAnsi="Calibri" w:cs="Calibri"/>
                <w:lang w:val="en-US"/>
              </w:rPr>
              <w:t xml:space="preserve"> MOEF</w:t>
            </w:r>
            <w:r w:rsidRPr="00785086">
              <w:rPr>
                <w:rFonts w:ascii="Calibri" w:hAnsi="Calibri" w:cs="Calibri"/>
                <w:lang w:val="en-US"/>
              </w:rPr>
              <w:t xml:space="preserve"> must approve and authorize foreign Carbon Trading activities, ensuring that they align with Indonesia's emission reduction goals. Additionally, the </w:t>
            </w:r>
            <w:r w:rsidR="00C265B0">
              <w:rPr>
                <w:rFonts w:ascii="Calibri" w:hAnsi="Calibri" w:cs="Calibri"/>
                <w:lang w:val="en-US"/>
              </w:rPr>
              <w:t xml:space="preserve">MOEF </w:t>
            </w:r>
            <w:r w:rsidRPr="00785086">
              <w:rPr>
                <w:rFonts w:ascii="Calibri" w:hAnsi="Calibri" w:cs="Calibri"/>
                <w:lang w:val="en-US"/>
              </w:rPr>
              <w:t>is tasked with overseeing the transfer of emission reduction results through international cooperation, ensuring that all foreign Carbon Trading complies with the established regulations.</w:t>
            </w:r>
          </w:p>
          <w:p w14:paraId="4145A03E" w14:textId="643A48A9" w:rsidR="00CC0779" w:rsidRPr="00785086" w:rsidRDefault="00CC0779" w:rsidP="00785086">
            <w:pPr>
              <w:pStyle w:val="ListParagraph"/>
              <w:jc w:val="both"/>
              <w:rPr>
                <w:rFonts w:ascii="Calibri" w:hAnsi="Calibri" w:cs="Calibri"/>
              </w:rPr>
            </w:pPr>
          </w:p>
          <w:p w14:paraId="2C557C07" w14:textId="42D401F8" w:rsidR="00785598" w:rsidRPr="00C265B0" w:rsidRDefault="00C265B0" w:rsidP="00785086">
            <w:pPr>
              <w:pStyle w:val="ListParagraph"/>
              <w:jc w:val="both"/>
              <w:rPr>
                <w:rFonts w:ascii="Calibri" w:hAnsi="Calibri" w:cs="Calibri"/>
              </w:rPr>
            </w:pPr>
            <w:r w:rsidRPr="00C265B0">
              <w:rPr>
                <w:rFonts w:ascii="Calibri" w:hAnsi="Calibri" w:cs="Calibri"/>
              </w:rPr>
              <w:t xml:space="preserve">Lastly, Under </w:t>
            </w:r>
            <w:r w:rsidRPr="00785086">
              <w:rPr>
                <w:rFonts w:ascii="Calibri" w:hAnsi="Calibri" w:cs="Calibri"/>
              </w:rPr>
              <w:t>Article 21</w:t>
            </w:r>
            <w:r w:rsidRPr="00C265B0">
              <w:rPr>
                <w:rFonts w:ascii="Calibri" w:hAnsi="Calibri" w:cs="Calibri"/>
              </w:rPr>
              <w:t xml:space="preserve">, </w:t>
            </w:r>
            <w:r>
              <w:rPr>
                <w:rFonts w:ascii="Calibri" w:hAnsi="Calibri" w:cs="Calibri"/>
              </w:rPr>
              <w:t xml:space="preserve">MOEF </w:t>
            </w:r>
            <w:r w:rsidRPr="00C265B0">
              <w:rPr>
                <w:rFonts w:ascii="Calibri" w:hAnsi="Calibri" w:cs="Calibri"/>
              </w:rPr>
              <w:t xml:space="preserve">is responsible for establishing a </w:t>
            </w:r>
            <w:r w:rsidRPr="00785086">
              <w:rPr>
                <w:rFonts w:ascii="Calibri" w:hAnsi="Calibri" w:cs="Calibri"/>
              </w:rPr>
              <w:t>designated national authority</w:t>
            </w:r>
            <w:r w:rsidRPr="00C265B0">
              <w:rPr>
                <w:rFonts w:ascii="Calibri" w:hAnsi="Calibri" w:cs="Calibri"/>
              </w:rPr>
              <w:t xml:space="preserve"> to oversee foreign carbon trading activities. </w:t>
            </w:r>
            <w:r>
              <w:rPr>
                <w:rFonts w:ascii="Calibri" w:hAnsi="Calibri" w:cs="Calibri"/>
              </w:rPr>
              <w:t xml:space="preserve">MOEF’s </w:t>
            </w:r>
            <w:r w:rsidRPr="00C265B0">
              <w:rPr>
                <w:rFonts w:ascii="Calibri" w:hAnsi="Calibri" w:cs="Calibri"/>
              </w:rPr>
              <w:t>duties include reviewing and approving proposals for foreign carbon trading agreements and ensuring they align with Indonesia's NDC targets. Additionally,</w:t>
            </w:r>
            <w:r>
              <w:rPr>
                <w:rFonts w:ascii="Calibri" w:hAnsi="Calibri" w:cs="Calibri"/>
              </w:rPr>
              <w:t xml:space="preserve"> MOEF </w:t>
            </w:r>
            <w:r w:rsidRPr="00C265B0">
              <w:rPr>
                <w:rFonts w:ascii="Calibri" w:hAnsi="Calibri" w:cs="Calibri"/>
              </w:rPr>
              <w:t>coordinates the issuance of authorizations for the transfer of carbon credits to foreign partners and ensures that all international carbon trading complies with the regulatory framework.</w:t>
            </w:r>
          </w:p>
          <w:p w14:paraId="12CAC941" w14:textId="77777777" w:rsidR="00C265B0" w:rsidRDefault="00C265B0" w:rsidP="00785086">
            <w:pPr>
              <w:pStyle w:val="ListParagraph"/>
              <w:rPr>
                <w:rFonts w:ascii="Calibri" w:hAnsi="Calibri" w:cs="Calibri"/>
              </w:rPr>
            </w:pPr>
          </w:p>
          <w:p w14:paraId="46D5D3A5" w14:textId="0677CE90" w:rsidR="00001E06" w:rsidRDefault="00001E06">
            <w:pPr>
              <w:pStyle w:val="ListParagraph"/>
              <w:numPr>
                <w:ilvl w:val="0"/>
                <w:numId w:val="49"/>
              </w:numPr>
              <w:rPr>
                <w:rFonts w:ascii="Calibri" w:hAnsi="Calibri" w:cs="Calibri"/>
              </w:rPr>
            </w:pPr>
            <w:r>
              <w:rPr>
                <w:rFonts w:ascii="Calibri" w:hAnsi="Calibri" w:cs="Calibri"/>
              </w:rPr>
              <w:t>Government Agencies (Regional):</w:t>
            </w:r>
            <w:r w:rsidR="002E4AFD">
              <w:rPr>
                <w:rFonts w:ascii="Calibri" w:hAnsi="Calibri" w:cs="Calibri"/>
              </w:rPr>
              <w:t xml:space="preserve">  </w:t>
            </w:r>
          </w:p>
          <w:p w14:paraId="622630D6" w14:textId="77777777" w:rsidR="00B65876" w:rsidRDefault="00B65876" w:rsidP="00B65876">
            <w:pPr>
              <w:pStyle w:val="ListParagraph"/>
              <w:rPr>
                <w:rFonts w:ascii="Calibri" w:hAnsi="Calibri" w:cs="Calibri"/>
              </w:rPr>
            </w:pPr>
          </w:p>
          <w:p w14:paraId="3FBF1996" w14:textId="288D69E6" w:rsidR="00B65876" w:rsidRPr="00785086" w:rsidRDefault="00B65876" w:rsidP="00785086">
            <w:pPr>
              <w:pStyle w:val="ListParagraph"/>
              <w:jc w:val="both"/>
              <w:rPr>
                <w:rFonts w:ascii="Calibri" w:hAnsi="Calibri" w:cs="Calibri"/>
              </w:rPr>
            </w:pPr>
            <w:r>
              <w:rPr>
                <w:rFonts w:ascii="Calibri" w:hAnsi="Calibri" w:cs="Calibri"/>
              </w:rPr>
              <w:t xml:space="preserve">Pursuant to Article 3(1) of the </w:t>
            </w:r>
            <w:r w:rsidR="0073269E">
              <w:rPr>
                <w:rFonts w:ascii="Calibri" w:hAnsi="Calibri" w:cs="Calibri"/>
              </w:rPr>
              <w:t>p</w:t>
            </w:r>
            <w:r>
              <w:rPr>
                <w:rFonts w:ascii="Calibri" w:hAnsi="Calibri" w:cs="Calibri"/>
              </w:rPr>
              <w:t xml:space="preserve">olicy </w:t>
            </w:r>
            <w:r w:rsidR="0073269E">
              <w:rPr>
                <w:rFonts w:ascii="Calibri" w:hAnsi="Calibri" w:cs="Calibri"/>
              </w:rPr>
              <w:t>t</w:t>
            </w:r>
            <w:r>
              <w:rPr>
                <w:rFonts w:ascii="Calibri" w:hAnsi="Calibri" w:cs="Calibri"/>
              </w:rPr>
              <w:t xml:space="preserve">ool, the </w:t>
            </w:r>
            <w:r w:rsidRPr="00B65876">
              <w:rPr>
                <w:rFonts w:ascii="Calibri" w:hAnsi="Calibri" w:cs="Calibri"/>
              </w:rPr>
              <w:t>government is expected to contribute to the implementation of carbon trading and climate change mitigation actions within their jurisdiction, in coordination with the national government. They may also be involved in ensuring that local emission reduction targets align with national NDC goals, though specific responsibilities are not explicitly defined in the regulation.</w:t>
            </w:r>
            <w:r w:rsidR="002316C3">
              <w:rPr>
                <w:rFonts w:ascii="Calibri" w:hAnsi="Calibri" w:cs="Calibri"/>
              </w:rPr>
              <w:t xml:space="preserve"> Furthermore, </w:t>
            </w:r>
            <w:r w:rsidR="002316C3" w:rsidRPr="00785086">
              <w:rPr>
                <w:rFonts w:ascii="Calibri" w:hAnsi="Calibri" w:cs="Calibri"/>
              </w:rPr>
              <w:lastRenderedPageBreak/>
              <w:t>Article 4</w:t>
            </w:r>
            <w:r w:rsidR="002316C3">
              <w:rPr>
                <w:rFonts w:ascii="Calibri" w:hAnsi="Calibri" w:cs="Calibri"/>
              </w:rPr>
              <w:t>2 of the Policy T</w:t>
            </w:r>
            <w:r w:rsidR="002316C3" w:rsidRPr="002316C3">
              <w:rPr>
                <w:rFonts w:ascii="Calibri" w:hAnsi="Calibri" w:cs="Calibri"/>
              </w:rPr>
              <w:t xml:space="preserve"> states that the regional government can </w:t>
            </w:r>
            <w:r w:rsidR="002316C3" w:rsidRPr="00785086">
              <w:rPr>
                <w:rFonts w:ascii="Calibri" w:hAnsi="Calibri" w:cs="Calibri"/>
              </w:rPr>
              <w:t>record and report the implementation of NEK activities in the SRN PPI</w:t>
            </w:r>
            <w:r w:rsidR="002316C3" w:rsidRPr="002316C3">
              <w:rPr>
                <w:rFonts w:ascii="Calibri" w:hAnsi="Calibri" w:cs="Calibri"/>
              </w:rPr>
              <w:t xml:space="preserve">, implying that they are responsible for ensuring that climate change mitigation efforts within their jurisdiction are documented and reported to the </w:t>
            </w:r>
            <w:r w:rsidR="002316C3" w:rsidRPr="00785086">
              <w:rPr>
                <w:rFonts w:ascii="Calibri" w:hAnsi="Calibri" w:cs="Calibri"/>
              </w:rPr>
              <w:t>National Climate Change Mitigation Registry System (</w:t>
            </w:r>
            <w:proofErr w:type="spellStart"/>
            <w:r w:rsidR="00651775" w:rsidRPr="00651775">
              <w:rPr>
                <w:rFonts w:ascii="Calibri" w:hAnsi="Calibri" w:cs="Calibri"/>
                <w:i/>
                <w:iCs/>
              </w:rPr>
              <w:t>Sistem</w:t>
            </w:r>
            <w:proofErr w:type="spellEnd"/>
            <w:r w:rsidR="00651775" w:rsidRPr="00651775">
              <w:rPr>
                <w:rFonts w:ascii="Calibri" w:hAnsi="Calibri" w:cs="Calibri"/>
                <w:i/>
                <w:iCs/>
              </w:rPr>
              <w:t xml:space="preserve"> </w:t>
            </w:r>
            <w:proofErr w:type="spellStart"/>
            <w:r w:rsidR="00651775" w:rsidRPr="00651775">
              <w:rPr>
                <w:rFonts w:ascii="Calibri" w:hAnsi="Calibri" w:cs="Calibri"/>
                <w:i/>
                <w:iCs/>
              </w:rPr>
              <w:t>Registri</w:t>
            </w:r>
            <w:proofErr w:type="spellEnd"/>
            <w:r w:rsidR="00651775" w:rsidRPr="00651775">
              <w:rPr>
                <w:rFonts w:ascii="Calibri" w:hAnsi="Calibri" w:cs="Calibri"/>
                <w:i/>
                <w:iCs/>
              </w:rPr>
              <w:t xml:space="preserve"> Nasional </w:t>
            </w:r>
            <w:proofErr w:type="spellStart"/>
            <w:r w:rsidR="00651775" w:rsidRPr="00651775">
              <w:rPr>
                <w:rFonts w:ascii="Calibri" w:hAnsi="Calibri" w:cs="Calibri"/>
                <w:i/>
                <w:iCs/>
              </w:rPr>
              <w:t>Pengendalian</w:t>
            </w:r>
            <w:proofErr w:type="spellEnd"/>
            <w:r w:rsidR="00651775" w:rsidRPr="00651775">
              <w:rPr>
                <w:rFonts w:ascii="Calibri" w:hAnsi="Calibri" w:cs="Calibri"/>
                <w:i/>
                <w:iCs/>
              </w:rPr>
              <w:t xml:space="preserve"> </w:t>
            </w:r>
            <w:proofErr w:type="spellStart"/>
            <w:r w:rsidR="00651775" w:rsidRPr="00651775">
              <w:rPr>
                <w:rFonts w:ascii="Calibri" w:hAnsi="Calibri" w:cs="Calibri"/>
                <w:i/>
                <w:iCs/>
              </w:rPr>
              <w:t>Perubahan</w:t>
            </w:r>
            <w:proofErr w:type="spellEnd"/>
            <w:r w:rsidR="00651775" w:rsidRPr="00651775">
              <w:rPr>
                <w:rFonts w:ascii="Calibri" w:hAnsi="Calibri" w:cs="Calibri"/>
                <w:i/>
                <w:iCs/>
              </w:rPr>
              <w:t xml:space="preserve"> Iklim</w:t>
            </w:r>
            <w:r w:rsidR="00651775">
              <w:rPr>
                <w:rFonts w:ascii="Calibri" w:hAnsi="Calibri" w:cs="Calibri"/>
                <w:i/>
                <w:iCs/>
              </w:rPr>
              <w:t xml:space="preserve"> </w:t>
            </w:r>
            <w:r w:rsidR="00651775">
              <w:rPr>
                <w:rFonts w:ascii="Calibri" w:hAnsi="Calibri" w:cs="Calibri"/>
              </w:rPr>
              <w:t>or “</w:t>
            </w:r>
            <w:r w:rsidR="002316C3" w:rsidRPr="00785086">
              <w:rPr>
                <w:rFonts w:ascii="Calibri" w:hAnsi="Calibri" w:cs="Calibri"/>
              </w:rPr>
              <w:t>SRN PPI</w:t>
            </w:r>
            <w:r w:rsidR="00651775">
              <w:rPr>
                <w:rFonts w:ascii="Calibri" w:hAnsi="Calibri" w:cs="Calibri"/>
              </w:rPr>
              <w:t>”</w:t>
            </w:r>
            <w:r w:rsidR="002316C3" w:rsidRPr="00785086">
              <w:rPr>
                <w:rFonts w:ascii="Calibri" w:hAnsi="Calibri" w:cs="Calibri"/>
              </w:rPr>
              <w:t>)</w:t>
            </w:r>
            <w:r w:rsidR="002316C3" w:rsidRPr="002316C3">
              <w:rPr>
                <w:rFonts w:ascii="Calibri" w:hAnsi="Calibri" w:cs="Calibri"/>
              </w:rPr>
              <w:t>.</w:t>
            </w:r>
          </w:p>
          <w:p w14:paraId="2894CDCA" w14:textId="1E187321" w:rsidR="0027150E" w:rsidRPr="00CF2E7C" w:rsidRDefault="0027150E"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lastRenderedPageBreak/>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3D48C1"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2D7BE4E4" w14:textId="5BD38F1F" w:rsidR="00001E06" w:rsidRPr="0073269E" w:rsidRDefault="0073269E" w:rsidP="00785086">
            <w:pPr>
              <w:jc w:val="both"/>
              <w:rPr>
                <w:rFonts w:ascii="Calibri" w:hAnsi="Calibri" w:cs="Calibri"/>
              </w:rPr>
            </w:pPr>
            <w:r>
              <w:rPr>
                <w:rFonts w:ascii="Calibri" w:hAnsi="Calibri" w:cs="Calibri"/>
              </w:rPr>
              <w:t>T</w:t>
            </w:r>
            <w:r w:rsidRPr="0073269E">
              <w:rPr>
                <w:rFonts w:ascii="Calibri" w:hAnsi="Calibri" w:cs="Calibri"/>
              </w:rPr>
              <w:t xml:space="preserve">he </w:t>
            </w:r>
            <w:r w:rsidRPr="00785086">
              <w:rPr>
                <w:rFonts w:ascii="Calibri" w:hAnsi="Calibri" w:cs="Calibri"/>
              </w:rPr>
              <w:t>threshold</w:t>
            </w:r>
            <w:r w:rsidRPr="0073269E">
              <w:rPr>
                <w:rFonts w:ascii="Calibri" w:hAnsi="Calibri" w:cs="Calibri"/>
              </w:rPr>
              <w:t xml:space="preserve"> for obligations to implement carbon trading or carbon mitigation actions is typically based on whether an entity produces </w:t>
            </w:r>
            <w:r>
              <w:rPr>
                <w:rFonts w:ascii="Calibri" w:hAnsi="Calibri" w:cs="Calibri"/>
              </w:rPr>
              <w:t xml:space="preserve">GHG </w:t>
            </w:r>
            <w:r w:rsidRPr="0073269E">
              <w:rPr>
                <w:rFonts w:ascii="Calibri" w:hAnsi="Calibri" w:cs="Calibri"/>
              </w:rPr>
              <w:t xml:space="preserve">emissions that exceed certain limits. For example, businesses are required to comply with carbon trading mechanisms and emission reduction efforts if their actual emissions surpass the </w:t>
            </w:r>
            <w:r w:rsidRPr="00785086">
              <w:rPr>
                <w:rFonts w:ascii="Calibri" w:hAnsi="Calibri" w:cs="Calibri"/>
              </w:rPr>
              <w:t>Upper GRK Emissions Limits (PTBAE)</w:t>
            </w:r>
            <w:r w:rsidRPr="0073269E">
              <w:rPr>
                <w:rFonts w:ascii="Calibri" w:hAnsi="Calibri" w:cs="Calibri"/>
              </w:rPr>
              <w:t xml:space="preserve"> set for their sector or activity, as outlined in </w:t>
            </w:r>
            <w:r w:rsidRPr="00785086">
              <w:rPr>
                <w:rFonts w:ascii="Calibri" w:hAnsi="Calibri" w:cs="Calibri"/>
              </w:rPr>
              <w:t>Article 9</w:t>
            </w:r>
            <w:r>
              <w:rPr>
                <w:rFonts w:ascii="Calibri" w:hAnsi="Calibri" w:cs="Calibri"/>
              </w:rPr>
              <w:t xml:space="preserve"> of this policy tool</w:t>
            </w:r>
            <w:r w:rsidRPr="0073269E">
              <w:rPr>
                <w:rFonts w:ascii="Calibri" w:hAnsi="Calibri" w:cs="Calibri"/>
              </w:rPr>
              <w:t xml:space="preserve">. If a business's emissions are below this threshold, it may not be required to participate in carbon trading but could still be involved in other mitigation actions. The </w:t>
            </w:r>
            <w:r w:rsidRPr="00785086">
              <w:rPr>
                <w:rFonts w:ascii="Calibri" w:hAnsi="Calibri" w:cs="Calibri"/>
              </w:rPr>
              <w:t xml:space="preserve">obligation to </w:t>
            </w:r>
            <w:r w:rsidRPr="0073269E">
              <w:rPr>
                <w:rFonts w:ascii="Calibri" w:hAnsi="Calibri" w:cs="Calibri"/>
              </w:rPr>
              <w:t xml:space="preserve">engage in carbon trading is </w:t>
            </w:r>
            <w:r>
              <w:rPr>
                <w:rFonts w:ascii="Calibri" w:hAnsi="Calibri" w:cs="Calibri"/>
              </w:rPr>
              <w:t xml:space="preserve">applicable </w:t>
            </w:r>
            <w:r w:rsidRPr="0073269E">
              <w:rPr>
                <w:rFonts w:ascii="Calibri" w:hAnsi="Calibri" w:cs="Calibri"/>
              </w:rPr>
              <w:t xml:space="preserve">once these emissions exceed the set limits, as indicated in </w:t>
            </w:r>
            <w:r w:rsidRPr="00785086">
              <w:rPr>
                <w:rFonts w:ascii="Calibri" w:hAnsi="Calibri" w:cs="Calibri"/>
              </w:rPr>
              <w:t>Article 11</w:t>
            </w:r>
            <w:r>
              <w:rPr>
                <w:rFonts w:ascii="Calibri" w:hAnsi="Calibri" w:cs="Calibri"/>
              </w:rPr>
              <w:t xml:space="preserve"> of the policy tool.</w:t>
            </w:r>
          </w:p>
          <w:p w14:paraId="3B9810F8" w14:textId="77777777" w:rsidR="00001E06" w:rsidRPr="00CF2E7C" w:rsidRDefault="00001E06"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lastRenderedPageBreak/>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578AF8A0" w:rsidR="00092534" w:rsidRPr="00CF2E7C" w:rsidRDefault="00EE0325" w:rsidP="00CF2E7C">
            <w:pPr>
              <w:rPr>
                <w:rFonts w:ascii="Calibri" w:hAnsi="Calibri" w:cs="Calibri"/>
              </w:rPr>
            </w:pPr>
            <w:r>
              <w:rPr>
                <w:rFonts w:ascii="Calibri" w:hAnsi="Calibri" w:cs="Calibri"/>
              </w:rPr>
              <w:t>X</w:t>
            </w: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5DBC2965" w:rsidR="00DB1E72" w:rsidRPr="00CF2E7C" w:rsidRDefault="00F616FA" w:rsidP="00CF2E7C">
            <w:pPr>
              <w:rPr>
                <w:rFonts w:ascii="Calibri" w:hAnsi="Calibri" w:cs="Calibri"/>
              </w:rPr>
            </w:pPr>
            <w:r>
              <w:rPr>
                <w:rFonts w:ascii="Calibri" w:hAnsi="Calibri" w:cs="Calibri"/>
              </w:rPr>
              <w:t>X</w:t>
            </w: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269DEAE2"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924939E" w:rsidR="00092534" w:rsidRPr="00CF2E7C" w:rsidRDefault="00F616FA"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3FDA3C24"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326C7AEA" w:rsidR="00092534" w:rsidRPr="00CF2E7C" w:rsidRDefault="00092534" w:rsidP="00785086">
            <w:pPr>
              <w:jc w:val="both"/>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2243B23D" w:rsidR="00092534" w:rsidRPr="00CF2E7C" w:rsidRDefault="00F616FA"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634F71ED"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57369B95"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097D657D" w:rsidR="00D46B07" w:rsidRPr="00CF2E7C" w:rsidRDefault="000200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8BC4DD9" w:rsidR="00FD3587" w:rsidRPr="006844E8" w:rsidRDefault="006844E8" w:rsidP="00785086">
            <w:pPr>
              <w:jc w:val="both"/>
              <w:textAlignment w:val="baseline"/>
              <w:rPr>
                <w:rFonts w:ascii="Calibri" w:eastAsia="Times New Roman" w:hAnsi="Calibri" w:cs="Calibri"/>
                <w:kern w:val="0"/>
                <w:lang w:eastAsia="en-GB"/>
                <w14:ligatures w14:val="none"/>
              </w:rPr>
            </w:pPr>
            <w:r w:rsidRPr="006844E8">
              <w:rPr>
                <w:rFonts w:ascii="Calibri" w:eastAsia="Times New Roman" w:hAnsi="Calibri" w:cs="Calibri"/>
                <w:kern w:val="0"/>
                <w:lang w:eastAsia="en-GB"/>
                <w14:ligatures w14:val="none"/>
              </w:rPr>
              <w:t xml:space="preserve">The goal and function of </w:t>
            </w:r>
            <w:r w:rsidRPr="00785086">
              <w:rPr>
                <w:rFonts w:ascii="Calibri" w:eastAsia="Times New Roman" w:hAnsi="Calibri" w:cs="Calibri"/>
                <w:kern w:val="0"/>
                <w:lang w:eastAsia="en-GB"/>
                <w14:ligatures w14:val="none"/>
              </w:rPr>
              <w:t xml:space="preserve">the policy tool </w:t>
            </w:r>
            <w:r w:rsidRPr="006844E8">
              <w:rPr>
                <w:rFonts w:ascii="Calibri" w:eastAsia="Times New Roman" w:hAnsi="Calibri" w:cs="Calibri"/>
                <w:kern w:val="0"/>
                <w:lang w:eastAsia="en-GB"/>
                <w14:ligatures w14:val="none"/>
              </w:rPr>
              <w:t xml:space="preserve">is to establish a comprehensive framework for the implementation of </w:t>
            </w:r>
            <w:r w:rsidRPr="00785086">
              <w:rPr>
                <w:rFonts w:ascii="Calibri" w:eastAsia="Times New Roman" w:hAnsi="Calibri" w:cs="Calibri"/>
                <w:kern w:val="0"/>
                <w:lang w:eastAsia="en-GB"/>
                <w14:ligatures w14:val="none"/>
              </w:rPr>
              <w:t xml:space="preserve">carbon </w:t>
            </w:r>
            <w:r w:rsidR="00077154">
              <w:rPr>
                <w:rFonts w:ascii="Calibri" w:eastAsia="Times New Roman" w:hAnsi="Calibri" w:cs="Calibri"/>
                <w:kern w:val="0"/>
                <w:lang w:eastAsia="en-GB"/>
                <w14:ligatures w14:val="none"/>
              </w:rPr>
              <w:t xml:space="preserve"> </w:t>
            </w:r>
            <w:r w:rsidRPr="00785086">
              <w:rPr>
                <w:rFonts w:ascii="Calibri" w:eastAsia="Times New Roman" w:hAnsi="Calibri" w:cs="Calibri"/>
                <w:kern w:val="0"/>
                <w:lang w:eastAsia="en-GB"/>
                <w14:ligatures w14:val="none"/>
              </w:rPr>
              <w:t xml:space="preserve"> mechanisms</w:t>
            </w:r>
            <w:r w:rsidRPr="006844E8">
              <w:rPr>
                <w:rFonts w:ascii="Calibri" w:eastAsia="Times New Roman" w:hAnsi="Calibri" w:cs="Calibri"/>
                <w:kern w:val="0"/>
                <w:lang w:eastAsia="en-GB"/>
                <w14:ligatures w14:val="none"/>
              </w:rPr>
              <w:t xml:space="preserve"> in Indonesia, specifically through </w:t>
            </w:r>
            <w:r w:rsidRPr="00785086">
              <w:rPr>
                <w:rFonts w:ascii="Calibri" w:eastAsia="Times New Roman" w:hAnsi="Calibri" w:cs="Calibri"/>
                <w:kern w:val="0"/>
                <w:lang w:eastAsia="en-GB"/>
                <w14:ligatures w14:val="none"/>
              </w:rPr>
              <w:t>carbon trading</w:t>
            </w:r>
            <w:r w:rsidRPr="006844E8">
              <w:rPr>
                <w:rFonts w:ascii="Calibri" w:eastAsia="Times New Roman" w:hAnsi="Calibri" w:cs="Calibri"/>
                <w:kern w:val="0"/>
                <w:lang w:eastAsia="en-GB"/>
                <w14:ligatures w14:val="none"/>
              </w:rPr>
              <w:t xml:space="preserve"> and </w:t>
            </w:r>
            <w:r w:rsidRPr="00785086">
              <w:rPr>
                <w:rFonts w:ascii="Calibri" w:eastAsia="Times New Roman" w:hAnsi="Calibri" w:cs="Calibri"/>
                <w:kern w:val="0"/>
                <w:lang w:eastAsia="en-GB"/>
                <w14:ligatures w14:val="none"/>
              </w:rPr>
              <w:t>carbon offsets</w:t>
            </w:r>
            <w:r w:rsidRPr="006844E8">
              <w:rPr>
                <w:rFonts w:ascii="Calibri" w:eastAsia="Times New Roman" w:hAnsi="Calibri" w:cs="Calibri"/>
                <w:kern w:val="0"/>
                <w:lang w:eastAsia="en-GB"/>
                <w14:ligatures w14:val="none"/>
              </w:rPr>
              <w:t xml:space="preserve"> to support the country's efforts in reducing </w:t>
            </w:r>
            <w:r>
              <w:rPr>
                <w:rFonts w:ascii="Calibri" w:eastAsia="Times New Roman" w:hAnsi="Calibri" w:cs="Calibri"/>
                <w:kern w:val="0"/>
                <w:lang w:eastAsia="en-GB"/>
                <w14:ligatures w14:val="none"/>
              </w:rPr>
              <w:t xml:space="preserve">GHG </w:t>
            </w:r>
            <w:r w:rsidRPr="006844E8">
              <w:rPr>
                <w:rFonts w:ascii="Calibri" w:eastAsia="Times New Roman" w:hAnsi="Calibri" w:cs="Calibri"/>
                <w:kern w:val="0"/>
                <w:lang w:eastAsia="en-GB"/>
                <w14:ligatures w14:val="none"/>
              </w:rPr>
              <w:t xml:space="preserve">emissions and achieving its </w:t>
            </w:r>
            <w:r w:rsidRPr="00785086">
              <w:rPr>
                <w:rFonts w:ascii="Calibri" w:eastAsia="Times New Roman" w:hAnsi="Calibri" w:cs="Calibri"/>
                <w:kern w:val="0"/>
                <w:lang w:eastAsia="en-GB"/>
                <w14:ligatures w14:val="none"/>
              </w:rPr>
              <w:t>Nationally Determined Contributions (NDCs)</w:t>
            </w:r>
            <w:r w:rsidRPr="006844E8">
              <w:rPr>
                <w:rFonts w:ascii="Calibri" w:eastAsia="Times New Roman" w:hAnsi="Calibri" w:cs="Calibri"/>
                <w:kern w:val="0"/>
                <w:lang w:eastAsia="en-GB"/>
                <w14:ligatures w14:val="none"/>
              </w:rPr>
              <w:t xml:space="preserve">. The regulation aims to create a transparent system </w:t>
            </w:r>
            <w:r>
              <w:rPr>
                <w:rFonts w:ascii="Calibri" w:eastAsia="Times New Roman" w:hAnsi="Calibri" w:cs="Calibri"/>
                <w:kern w:val="0"/>
                <w:lang w:eastAsia="en-GB"/>
                <w14:ligatures w14:val="none"/>
              </w:rPr>
              <w:t>to</w:t>
            </w:r>
            <w:r w:rsidRPr="006844E8">
              <w:rPr>
                <w:rFonts w:ascii="Calibri" w:eastAsia="Times New Roman" w:hAnsi="Calibri" w:cs="Calibri"/>
                <w:kern w:val="0"/>
                <w:lang w:eastAsia="en-GB"/>
                <w14:ligatures w14:val="none"/>
              </w:rPr>
              <w:t xml:space="preserve"> ensure accurate </w:t>
            </w:r>
            <w:r w:rsidRPr="00785086">
              <w:rPr>
                <w:rFonts w:ascii="Calibri" w:eastAsia="Times New Roman" w:hAnsi="Calibri" w:cs="Calibri"/>
                <w:kern w:val="0"/>
                <w:lang w:eastAsia="en-GB"/>
                <w14:ligatures w14:val="none"/>
              </w:rPr>
              <w:t xml:space="preserve">emission </w:t>
            </w:r>
            <w:proofErr w:type="gramStart"/>
            <w:r w:rsidRPr="00785086">
              <w:rPr>
                <w:rFonts w:ascii="Calibri" w:eastAsia="Times New Roman" w:hAnsi="Calibri" w:cs="Calibri"/>
                <w:kern w:val="0"/>
                <w:lang w:eastAsia="en-GB"/>
                <w14:ligatures w14:val="none"/>
              </w:rPr>
              <w:t>reductions</w:t>
            </w:r>
            <w:r w:rsidRPr="006844E8">
              <w:rPr>
                <w:rFonts w:ascii="Calibri" w:eastAsia="Times New Roman" w:hAnsi="Calibri" w:cs="Calibri"/>
                <w:kern w:val="0"/>
                <w:lang w:eastAsia="en-GB"/>
                <w14:ligatures w14:val="none"/>
              </w:rPr>
              <w:t>, and</w:t>
            </w:r>
            <w:proofErr w:type="gramEnd"/>
            <w:r w:rsidRPr="006844E8">
              <w:rPr>
                <w:rFonts w:ascii="Calibri" w:eastAsia="Times New Roman" w:hAnsi="Calibri" w:cs="Calibri"/>
                <w:kern w:val="0"/>
                <w:lang w:eastAsia="en-GB"/>
                <w14:ligatures w14:val="none"/>
              </w:rPr>
              <w:t xml:space="preserve"> provide incentives through mechanisms like </w:t>
            </w:r>
            <w:r w:rsidRPr="00785086">
              <w:rPr>
                <w:rFonts w:ascii="Calibri" w:eastAsia="Times New Roman" w:hAnsi="Calibri" w:cs="Calibri"/>
                <w:kern w:val="0"/>
                <w:lang w:eastAsia="en-GB"/>
                <w14:ligatures w14:val="none"/>
              </w:rPr>
              <w:t>emission trading</w:t>
            </w:r>
            <w:r w:rsidRPr="006844E8">
              <w:rPr>
                <w:rFonts w:ascii="Calibri" w:eastAsia="Times New Roman" w:hAnsi="Calibri" w:cs="Calibri"/>
                <w:kern w:val="0"/>
                <w:lang w:eastAsia="en-GB"/>
                <w14:ligatures w14:val="none"/>
              </w:rPr>
              <w:t xml:space="preserve"> and </w:t>
            </w:r>
            <w:r w:rsidRPr="00785086">
              <w:rPr>
                <w:rFonts w:ascii="Calibri" w:eastAsia="Times New Roman" w:hAnsi="Calibri" w:cs="Calibri"/>
                <w:kern w:val="0"/>
                <w:lang w:eastAsia="en-GB"/>
                <w14:ligatures w14:val="none"/>
              </w:rPr>
              <w:t>performance-based payments</w:t>
            </w:r>
            <w:r w:rsidRPr="006844E8">
              <w:rPr>
                <w:rFonts w:ascii="Calibri" w:eastAsia="Times New Roman" w:hAnsi="Calibri" w:cs="Calibri"/>
                <w:kern w:val="0"/>
                <w:lang w:eastAsia="en-GB"/>
                <w14:ligatures w14:val="none"/>
              </w:rPr>
              <w:t>. It is designed to guide the measurement, reporting, verification, and trading of carbon credits to effectively manage emissions reductions and contribute to Indonesia’s climate goals.</w:t>
            </w: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559A203A"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1216D9">
              <w:rPr>
                <w:rFonts w:ascii="Calibri" w:eastAsia="Times New Roman" w:hAnsi="Calibri" w:cs="Calibri"/>
                <w:kern w:val="0"/>
                <w:lang w:val="en-US" w:eastAsia="en-GB"/>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476FE7E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260DFC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1216D9">
              <w:rPr>
                <w:rFonts w:ascii="Calibri" w:eastAsia="Times New Roman" w:hAnsi="Calibri" w:cs="Calibri"/>
                <w:kern w:val="0"/>
                <w:lang w:val="en-US" w:eastAsia="en-GB"/>
                <w14:ligatures w14:val="none"/>
              </w:rPr>
              <w:t>X</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50BCFE0C"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E3773D">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4ED512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939F3">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D40F71" w14:textId="48DD9875" w:rsidR="004939F3" w:rsidRPr="004939F3" w:rsidRDefault="004939F3" w:rsidP="00785086">
            <w:pPr>
              <w:jc w:val="both"/>
              <w:textAlignment w:val="baseline"/>
              <w:rPr>
                <w:rFonts w:ascii="Calibri" w:eastAsia="Times New Roman" w:hAnsi="Calibri" w:cs="Calibri"/>
                <w:kern w:val="0"/>
                <w:lang w:val="en-US" w:eastAsia="en-GB"/>
                <w14:ligatures w14:val="none"/>
              </w:rPr>
            </w:pPr>
            <w:r w:rsidRPr="004939F3">
              <w:rPr>
                <w:rFonts w:ascii="Calibri" w:eastAsia="Times New Roman" w:hAnsi="Calibri" w:cs="Calibri"/>
                <w:kern w:val="0"/>
                <w:lang w:val="en-US" w:eastAsia="en-GB"/>
                <w14:ligatures w14:val="none"/>
              </w:rPr>
              <w:t xml:space="preserve">In </w:t>
            </w:r>
            <w:r>
              <w:rPr>
                <w:rFonts w:ascii="Calibri" w:eastAsia="Times New Roman" w:hAnsi="Calibri" w:cs="Calibri"/>
                <w:kern w:val="0"/>
                <w:lang w:val="en-US" w:eastAsia="en-GB"/>
                <w14:ligatures w14:val="none"/>
              </w:rPr>
              <w:t>this policy tool</w:t>
            </w:r>
            <w:r w:rsidRPr="004939F3">
              <w:rPr>
                <w:rFonts w:ascii="Calibri" w:eastAsia="Times New Roman" w:hAnsi="Calibri" w:cs="Calibri"/>
                <w:kern w:val="0"/>
                <w:lang w:val="en-US" w:eastAsia="en-GB"/>
                <w14:ligatures w14:val="none"/>
              </w:rPr>
              <w:t xml:space="preserve">, the </w:t>
            </w:r>
            <w:r>
              <w:rPr>
                <w:rFonts w:ascii="Calibri" w:eastAsia="Times New Roman" w:hAnsi="Calibri" w:cs="Calibri"/>
                <w:kern w:val="0"/>
                <w:lang w:val="en-US" w:eastAsia="en-GB"/>
                <w14:ligatures w14:val="none"/>
              </w:rPr>
              <w:t xml:space="preserve">SRN PPI </w:t>
            </w:r>
            <w:r w:rsidRPr="004939F3">
              <w:rPr>
                <w:rFonts w:ascii="Calibri" w:eastAsia="Times New Roman" w:hAnsi="Calibri" w:cs="Calibri"/>
                <w:kern w:val="0"/>
                <w:lang w:val="en-US" w:eastAsia="en-GB"/>
                <w14:ligatures w14:val="none"/>
              </w:rPr>
              <w:t xml:space="preserve">serves as the official registry for tracking </w:t>
            </w:r>
            <w:r>
              <w:rPr>
                <w:rFonts w:ascii="Calibri" w:eastAsia="Times New Roman" w:hAnsi="Calibri" w:cs="Calibri"/>
                <w:kern w:val="0"/>
                <w:lang w:val="en-US" w:eastAsia="en-GB"/>
                <w14:ligatures w14:val="none"/>
              </w:rPr>
              <w:t xml:space="preserve">GHD </w:t>
            </w:r>
            <w:r w:rsidRPr="004939F3">
              <w:rPr>
                <w:rFonts w:ascii="Calibri" w:eastAsia="Times New Roman" w:hAnsi="Calibri" w:cs="Calibri"/>
                <w:kern w:val="0"/>
                <w:lang w:val="en-US" w:eastAsia="en-GB"/>
                <w14:ligatures w14:val="none"/>
              </w:rPr>
              <w:t xml:space="preserve">emissions and carbon credits. As stated in </w:t>
            </w:r>
            <w:r w:rsidRPr="00785086">
              <w:rPr>
                <w:rFonts w:ascii="Calibri" w:eastAsia="Times New Roman" w:hAnsi="Calibri" w:cs="Calibri"/>
                <w:kern w:val="0"/>
                <w:lang w:val="en-US" w:eastAsia="en-GB"/>
                <w14:ligatures w14:val="none"/>
              </w:rPr>
              <w:t>Article 42(1)</w:t>
            </w:r>
            <w:r w:rsidR="00BA65F0">
              <w:rPr>
                <w:rFonts w:ascii="Calibri" w:eastAsia="Times New Roman" w:hAnsi="Calibri" w:cs="Calibri"/>
                <w:kern w:val="0"/>
                <w:lang w:val="en-US" w:eastAsia="en-GB"/>
                <w14:ligatures w14:val="none"/>
              </w:rPr>
              <w:t xml:space="preserve"> of this policy tool</w:t>
            </w:r>
            <w:r w:rsidRPr="004939F3">
              <w:rPr>
                <w:rFonts w:ascii="Calibri" w:eastAsia="Times New Roman" w:hAnsi="Calibri" w:cs="Calibri"/>
                <w:kern w:val="0"/>
                <w:lang w:val="en-US" w:eastAsia="en-GB"/>
                <w14:ligatures w14:val="none"/>
              </w:rPr>
              <w:t xml:space="preserve">, businesses, government agencies, and other entities involved in climate change mitigation activities are required to </w:t>
            </w:r>
            <w:r w:rsidRPr="00785086">
              <w:rPr>
                <w:rFonts w:ascii="Calibri" w:eastAsia="Times New Roman" w:hAnsi="Calibri" w:cs="Calibri"/>
                <w:kern w:val="0"/>
                <w:lang w:val="en-US" w:eastAsia="en-GB"/>
                <w14:ligatures w14:val="none"/>
              </w:rPr>
              <w:t>register and report their emissions reduction actions</w:t>
            </w:r>
            <w:r w:rsidRPr="004939F3">
              <w:rPr>
                <w:rFonts w:ascii="Calibri" w:eastAsia="Times New Roman" w:hAnsi="Calibri" w:cs="Calibri"/>
                <w:kern w:val="0"/>
                <w:lang w:val="en-US" w:eastAsia="en-GB"/>
                <w14:ligatures w14:val="none"/>
              </w:rPr>
              <w:t xml:space="preserve"> and related data within the SRN PPI. This system helps ensure that </w:t>
            </w:r>
            <w:r w:rsidRPr="00785086">
              <w:rPr>
                <w:rFonts w:ascii="Calibri" w:eastAsia="Times New Roman" w:hAnsi="Calibri" w:cs="Calibri"/>
                <w:kern w:val="0"/>
                <w:lang w:val="en-US" w:eastAsia="en-GB"/>
                <w14:ligatures w14:val="none"/>
              </w:rPr>
              <w:t>carbon trading</w:t>
            </w:r>
            <w:r w:rsidRPr="004939F3">
              <w:rPr>
                <w:rFonts w:ascii="Calibri" w:eastAsia="Times New Roman" w:hAnsi="Calibri" w:cs="Calibri"/>
                <w:kern w:val="0"/>
                <w:lang w:val="en-US" w:eastAsia="en-GB"/>
                <w14:ligatures w14:val="none"/>
              </w:rPr>
              <w:t xml:space="preserve">, </w:t>
            </w:r>
            <w:r w:rsidRPr="00785086">
              <w:rPr>
                <w:rFonts w:ascii="Calibri" w:eastAsia="Times New Roman" w:hAnsi="Calibri" w:cs="Calibri"/>
                <w:kern w:val="0"/>
                <w:lang w:val="en-US" w:eastAsia="en-GB"/>
                <w14:ligatures w14:val="none"/>
              </w:rPr>
              <w:t>emission offsets</w:t>
            </w:r>
            <w:r w:rsidRPr="004939F3">
              <w:rPr>
                <w:rFonts w:ascii="Calibri" w:eastAsia="Times New Roman" w:hAnsi="Calibri" w:cs="Calibri"/>
                <w:kern w:val="0"/>
                <w:lang w:val="en-US" w:eastAsia="en-GB"/>
                <w14:ligatures w14:val="none"/>
              </w:rPr>
              <w:t xml:space="preserve">, and </w:t>
            </w:r>
            <w:r w:rsidRPr="00785086">
              <w:rPr>
                <w:rFonts w:ascii="Calibri" w:eastAsia="Times New Roman" w:hAnsi="Calibri" w:cs="Calibri"/>
                <w:kern w:val="0"/>
                <w:lang w:val="en-US" w:eastAsia="en-GB"/>
                <w14:ligatures w14:val="none"/>
              </w:rPr>
              <w:t>performance-based payments</w:t>
            </w:r>
            <w:r w:rsidRPr="004939F3">
              <w:rPr>
                <w:rFonts w:ascii="Calibri" w:eastAsia="Times New Roman" w:hAnsi="Calibri" w:cs="Calibri"/>
                <w:kern w:val="0"/>
                <w:lang w:val="en-US" w:eastAsia="en-GB"/>
                <w14:ligatures w14:val="none"/>
              </w:rPr>
              <w:t xml:space="preserve"> are accurately documented and monitored. Additionally, </w:t>
            </w:r>
            <w:r w:rsidRPr="00785086">
              <w:rPr>
                <w:rFonts w:ascii="Calibri" w:eastAsia="Times New Roman" w:hAnsi="Calibri" w:cs="Calibri"/>
                <w:kern w:val="0"/>
                <w:lang w:val="en-US" w:eastAsia="en-GB"/>
                <w14:ligatures w14:val="none"/>
              </w:rPr>
              <w:t>Article 42(</w:t>
            </w:r>
            <w:r w:rsidR="00BA65F0">
              <w:rPr>
                <w:rFonts w:ascii="Calibri" w:eastAsia="Times New Roman" w:hAnsi="Calibri" w:cs="Calibri"/>
                <w:kern w:val="0"/>
                <w:lang w:val="en-US" w:eastAsia="en-GB"/>
                <w14:ligatures w14:val="none"/>
              </w:rPr>
              <w:t>1</w:t>
            </w:r>
            <w:r w:rsidRPr="00785086">
              <w:rPr>
                <w:rFonts w:ascii="Calibri" w:eastAsia="Times New Roman" w:hAnsi="Calibri" w:cs="Calibri"/>
                <w:kern w:val="0"/>
                <w:lang w:val="en-US" w:eastAsia="en-GB"/>
                <w14:ligatures w14:val="none"/>
              </w:rPr>
              <w:t>)</w:t>
            </w:r>
            <w:r w:rsidRPr="004939F3">
              <w:rPr>
                <w:rFonts w:ascii="Calibri" w:eastAsia="Times New Roman" w:hAnsi="Calibri" w:cs="Calibri"/>
                <w:kern w:val="0"/>
                <w:lang w:val="en-US" w:eastAsia="en-GB"/>
                <w14:ligatures w14:val="none"/>
              </w:rPr>
              <w:t xml:space="preserve"> </w:t>
            </w:r>
            <w:r w:rsidR="00BA65F0">
              <w:rPr>
                <w:rFonts w:ascii="Calibri" w:eastAsia="Times New Roman" w:hAnsi="Calibri" w:cs="Calibri"/>
                <w:kern w:val="0"/>
                <w:lang w:val="en-US" w:eastAsia="en-GB"/>
                <w14:ligatures w14:val="none"/>
              </w:rPr>
              <w:t xml:space="preserve">of the policy tool </w:t>
            </w:r>
            <w:r w:rsidRPr="004939F3">
              <w:rPr>
                <w:rFonts w:ascii="Calibri" w:eastAsia="Times New Roman" w:hAnsi="Calibri" w:cs="Calibri"/>
                <w:kern w:val="0"/>
                <w:lang w:val="en-US" w:eastAsia="en-GB"/>
                <w14:ligatures w14:val="none"/>
              </w:rPr>
              <w:t xml:space="preserve">specifies that emissions data, including </w:t>
            </w:r>
            <w:r w:rsidRPr="00785086">
              <w:rPr>
                <w:rFonts w:ascii="Calibri" w:eastAsia="Times New Roman" w:hAnsi="Calibri" w:cs="Calibri"/>
                <w:kern w:val="0"/>
                <w:lang w:val="en-US" w:eastAsia="en-GB"/>
                <w14:ligatures w14:val="none"/>
              </w:rPr>
              <w:t>carbon credits (SPE-GRK)</w:t>
            </w:r>
            <w:r w:rsidRPr="004939F3">
              <w:rPr>
                <w:rFonts w:ascii="Calibri" w:eastAsia="Times New Roman" w:hAnsi="Calibri" w:cs="Calibri"/>
                <w:kern w:val="0"/>
                <w:lang w:val="en-US" w:eastAsia="en-GB"/>
                <w14:ligatures w14:val="none"/>
              </w:rPr>
              <w:t xml:space="preserve"> and </w:t>
            </w:r>
            <w:r w:rsidRPr="00785086">
              <w:rPr>
                <w:rFonts w:ascii="Calibri" w:eastAsia="Times New Roman" w:hAnsi="Calibri" w:cs="Calibri"/>
                <w:kern w:val="0"/>
                <w:lang w:val="en-US" w:eastAsia="en-GB"/>
                <w14:ligatures w14:val="none"/>
              </w:rPr>
              <w:t>carbon trade transactions</w:t>
            </w:r>
            <w:r w:rsidRPr="004939F3">
              <w:rPr>
                <w:rFonts w:ascii="Calibri" w:eastAsia="Times New Roman" w:hAnsi="Calibri" w:cs="Calibri"/>
                <w:kern w:val="0"/>
                <w:lang w:val="en-US" w:eastAsia="en-GB"/>
                <w14:ligatures w14:val="none"/>
              </w:rPr>
              <w:t>, must be submitted to SRN PPI for official record-keeping.</w:t>
            </w:r>
          </w:p>
          <w:p w14:paraId="0C612C02" w14:textId="73C33654" w:rsidR="004939F3" w:rsidRPr="004939F3" w:rsidRDefault="004939F3" w:rsidP="00785086">
            <w:pPr>
              <w:jc w:val="both"/>
              <w:textAlignment w:val="baseline"/>
              <w:rPr>
                <w:rFonts w:ascii="Calibri" w:eastAsia="Times New Roman" w:hAnsi="Calibri" w:cs="Calibri"/>
                <w:kern w:val="0"/>
                <w:lang w:val="en-US" w:eastAsia="en-GB"/>
                <w14:ligatures w14:val="none"/>
              </w:rPr>
            </w:pPr>
            <w:r w:rsidRPr="004939F3">
              <w:rPr>
                <w:rFonts w:ascii="Calibri" w:eastAsia="Times New Roman" w:hAnsi="Calibri" w:cs="Calibri"/>
                <w:kern w:val="0"/>
                <w:lang w:val="en-US" w:eastAsia="en-GB"/>
                <w14:ligatures w14:val="none"/>
              </w:rPr>
              <w:t xml:space="preserve">Furthermore, SRN PPI plays a crucial role in the </w:t>
            </w:r>
            <w:r w:rsidRPr="00785086">
              <w:rPr>
                <w:rFonts w:ascii="Calibri" w:eastAsia="Times New Roman" w:hAnsi="Calibri" w:cs="Calibri"/>
                <w:kern w:val="0"/>
                <w:lang w:val="en-US" w:eastAsia="en-GB"/>
                <w14:ligatures w14:val="none"/>
              </w:rPr>
              <w:t>verification and compliance process</w:t>
            </w:r>
            <w:r w:rsidRPr="004939F3">
              <w:rPr>
                <w:rFonts w:ascii="Calibri" w:eastAsia="Times New Roman" w:hAnsi="Calibri" w:cs="Calibri"/>
                <w:kern w:val="0"/>
                <w:lang w:val="en-US" w:eastAsia="en-GB"/>
                <w14:ligatures w14:val="none"/>
              </w:rPr>
              <w:t xml:space="preserve">, as outlined in </w:t>
            </w:r>
            <w:r w:rsidRPr="00785086">
              <w:rPr>
                <w:rFonts w:ascii="Calibri" w:eastAsia="Times New Roman" w:hAnsi="Calibri" w:cs="Calibri"/>
                <w:kern w:val="0"/>
                <w:lang w:val="en-US" w:eastAsia="en-GB"/>
                <w14:ligatures w14:val="none"/>
              </w:rPr>
              <w:t>Article 39</w:t>
            </w:r>
            <w:r w:rsidRPr="004939F3">
              <w:rPr>
                <w:rFonts w:ascii="Calibri" w:eastAsia="Times New Roman" w:hAnsi="Calibri" w:cs="Calibri"/>
                <w:kern w:val="0"/>
                <w:lang w:val="en-US" w:eastAsia="en-GB"/>
                <w14:ligatures w14:val="none"/>
              </w:rPr>
              <w:t xml:space="preserve"> and </w:t>
            </w:r>
            <w:r w:rsidRPr="00785086">
              <w:rPr>
                <w:rFonts w:ascii="Calibri" w:eastAsia="Times New Roman" w:hAnsi="Calibri" w:cs="Calibri"/>
                <w:kern w:val="0"/>
                <w:lang w:val="en-US" w:eastAsia="en-GB"/>
                <w14:ligatures w14:val="none"/>
              </w:rPr>
              <w:t>Article 40</w:t>
            </w:r>
            <w:r w:rsidRPr="004939F3">
              <w:rPr>
                <w:rFonts w:ascii="Calibri" w:eastAsia="Times New Roman" w:hAnsi="Calibri" w:cs="Calibri"/>
                <w:kern w:val="0"/>
                <w:lang w:val="en-US" w:eastAsia="en-GB"/>
                <w14:ligatures w14:val="none"/>
              </w:rPr>
              <w:t xml:space="preserve">. Entities involved in </w:t>
            </w:r>
            <w:r w:rsidRPr="00785086">
              <w:rPr>
                <w:rFonts w:ascii="Calibri" w:eastAsia="Times New Roman" w:hAnsi="Calibri" w:cs="Calibri"/>
                <w:kern w:val="0"/>
                <w:lang w:val="en-US" w:eastAsia="en-GB"/>
                <w14:ligatures w14:val="none"/>
              </w:rPr>
              <w:t>carbon trading</w:t>
            </w:r>
            <w:r w:rsidRPr="004939F3">
              <w:rPr>
                <w:rFonts w:ascii="Calibri" w:eastAsia="Times New Roman" w:hAnsi="Calibri" w:cs="Calibri"/>
                <w:kern w:val="0"/>
                <w:lang w:val="en-US" w:eastAsia="en-GB"/>
                <w14:ligatures w14:val="none"/>
              </w:rPr>
              <w:t xml:space="preserve"> or </w:t>
            </w:r>
            <w:r w:rsidRPr="00785086">
              <w:rPr>
                <w:rFonts w:ascii="Calibri" w:eastAsia="Times New Roman" w:hAnsi="Calibri" w:cs="Calibri"/>
                <w:kern w:val="0"/>
                <w:lang w:val="en-US" w:eastAsia="en-GB"/>
                <w14:ligatures w14:val="none"/>
              </w:rPr>
              <w:t>emission reductions</w:t>
            </w:r>
            <w:r w:rsidRPr="004939F3">
              <w:rPr>
                <w:rFonts w:ascii="Calibri" w:eastAsia="Times New Roman" w:hAnsi="Calibri" w:cs="Calibri"/>
                <w:kern w:val="0"/>
                <w:lang w:val="en-US" w:eastAsia="en-GB"/>
                <w14:ligatures w14:val="none"/>
              </w:rPr>
              <w:t xml:space="preserve"> must submit their reports to the SRN PPI, where they are </w:t>
            </w:r>
            <w:r w:rsidRPr="00785086">
              <w:rPr>
                <w:rFonts w:ascii="Calibri" w:eastAsia="Times New Roman" w:hAnsi="Calibri" w:cs="Calibri"/>
                <w:kern w:val="0"/>
                <w:lang w:val="en-US" w:eastAsia="en-GB"/>
                <w14:ligatures w14:val="none"/>
              </w:rPr>
              <w:t>verified by third-party verifiers</w:t>
            </w:r>
            <w:r w:rsidRPr="004939F3">
              <w:rPr>
                <w:rFonts w:ascii="Calibri" w:eastAsia="Times New Roman" w:hAnsi="Calibri" w:cs="Calibri"/>
                <w:kern w:val="0"/>
                <w:lang w:val="en-US" w:eastAsia="en-GB"/>
                <w14:ligatures w14:val="none"/>
              </w:rPr>
              <w:t xml:space="preserve"> to ensure that the data complies with the established standards. This process guarantees the </w:t>
            </w:r>
            <w:r w:rsidRPr="00785086">
              <w:rPr>
                <w:rFonts w:ascii="Calibri" w:eastAsia="Times New Roman" w:hAnsi="Calibri" w:cs="Calibri"/>
                <w:kern w:val="0"/>
                <w:lang w:val="en-US" w:eastAsia="en-GB"/>
                <w14:ligatures w14:val="none"/>
              </w:rPr>
              <w:t>integrity of the carbon market</w:t>
            </w:r>
            <w:r w:rsidRPr="004939F3">
              <w:rPr>
                <w:rFonts w:ascii="Calibri" w:eastAsia="Times New Roman" w:hAnsi="Calibri" w:cs="Calibri"/>
                <w:kern w:val="0"/>
                <w:lang w:val="en-US" w:eastAsia="en-GB"/>
                <w14:ligatures w14:val="none"/>
              </w:rPr>
              <w:t xml:space="preserve"> by preventing issues such as double-counting and ensuring that emission reductions are credible. </w:t>
            </w:r>
            <w:r w:rsidRPr="00785086">
              <w:rPr>
                <w:rFonts w:ascii="Calibri" w:eastAsia="Times New Roman" w:hAnsi="Calibri" w:cs="Calibri"/>
                <w:kern w:val="0"/>
                <w:lang w:val="en-US" w:eastAsia="en-GB"/>
                <w14:ligatures w14:val="none"/>
              </w:rPr>
              <w:t>Article 52</w:t>
            </w:r>
            <w:r w:rsidRPr="004939F3">
              <w:rPr>
                <w:rFonts w:ascii="Calibri" w:eastAsia="Times New Roman" w:hAnsi="Calibri" w:cs="Calibri"/>
                <w:kern w:val="0"/>
                <w:lang w:val="en-US" w:eastAsia="en-GB"/>
                <w14:ligatures w14:val="none"/>
              </w:rPr>
              <w:t xml:space="preserve"> </w:t>
            </w:r>
            <w:r w:rsidR="00BA65F0">
              <w:rPr>
                <w:rFonts w:ascii="Calibri" w:eastAsia="Times New Roman" w:hAnsi="Calibri" w:cs="Calibri"/>
                <w:kern w:val="0"/>
                <w:lang w:val="en-US" w:eastAsia="en-GB"/>
                <w14:ligatures w14:val="none"/>
              </w:rPr>
              <w:t>of th</w:t>
            </w:r>
            <w:r w:rsidR="00E3773D">
              <w:rPr>
                <w:rFonts w:ascii="Calibri" w:eastAsia="Times New Roman" w:hAnsi="Calibri" w:cs="Calibri"/>
                <w:kern w:val="0"/>
                <w:lang w:val="en-US" w:eastAsia="en-GB"/>
                <w14:ligatures w14:val="none"/>
              </w:rPr>
              <w:t>e</w:t>
            </w:r>
            <w:r w:rsidR="00BA65F0">
              <w:rPr>
                <w:rFonts w:ascii="Calibri" w:eastAsia="Times New Roman" w:hAnsi="Calibri" w:cs="Calibri"/>
                <w:kern w:val="0"/>
                <w:lang w:val="en-US" w:eastAsia="en-GB"/>
                <w14:ligatures w14:val="none"/>
              </w:rPr>
              <w:t xml:space="preserve"> policy tool stipulates that </w:t>
            </w:r>
            <w:r w:rsidRPr="004939F3">
              <w:rPr>
                <w:rFonts w:ascii="Calibri" w:eastAsia="Times New Roman" w:hAnsi="Calibri" w:cs="Calibri"/>
                <w:kern w:val="0"/>
                <w:lang w:val="en-US" w:eastAsia="en-GB"/>
                <w14:ligatures w14:val="none"/>
              </w:rPr>
              <w:t xml:space="preserve">the SRN PPI tracks the movement of </w:t>
            </w:r>
            <w:r w:rsidRPr="00785086">
              <w:rPr>
                <w:rFonts w:ascii="Calibri" w:eastAsia="Times New Roman" w:hAnsi="Calibri" w:cs="Calibri"/>
                <w:kern w:val="0"/>
                <w:lang w:val="en-US" w:eastAsia="en-GB"/>
                <w14:ligatures w14:val="none"/>
              </w:rPr>
              <w:t>carbon units</w:t>
            </w:r>
            <w:r w:rsidRPr="004939F3">
              <w:rPr>
                <w:rFonts w:ascii="Calibri" w:eastAsia="Times New Roman" w:hAnsi="Calibri" w:cs="Calibri"/>
                <w:kern w:val="0"/>
                <w:lang w:val="en-US" w:eastAsia="en-GB"/>
                <w14:ligatures w14:val="none"/>
              </w:rPr>
              <w:t xml:space="preserve"> (e.g., </w:t>
            </w:r>
            <w:r w:rsidRPr="00785086">
              <w:rPr>
                <w:rFonts w:ascii="Calibri" w:eastAsia="Times New Roman" w:hAnsi="Calibri" w:cs="Calibri"/>
                <w:kern w:val="0"/>
                <w:lang w:val="en-US" w:eastAsia="en-GB"/>
                <w14:ligatures w14:val="none"/>
              </w:rPr>
              <w:t>SPE-GRK</w:t>
            </w:r>
            <w:r w:rsidRPr="004939F3">
              <w:rPr>
                <w:rFonts w:ascii="Calibri" w:eastAsia="Times New Roman" w:hAnsi="Calibri" w:cs="Calibri"/>
                <w:kern w:val="0"/>
                <w:lang w:val="en-US" w:eastAsia="en-GB"/>
                <w14:ligatures w14:val="none"/>
              </w:rPr>
              <w:t xml:space="preserve">) throughout the market, including their </w:t>
            </w:r>
            <w:r w:rsidRPr="00785086">
              <w:rPr>
                <w:rFonts w:ascii="Calibri" w:eastAsia="Times New Roman" w:hAnsi="Calibri" w:cs="Calibri"/>
                <w:kern w:val="0"/>
                <w:lang w:val="en-US" w:eastAsia="en-GB"/>
                <w14:ligatures w14:val="none"/>
              </w:rPr>
              <w:t>issuance, transfer, and cancellation</w:t>
            </w:r>
            <w:r w:rsidRPr="004939F3">
              <w:rPr>
                <w:rFonts w:ascii="Calibri" w:eastAsia="Times New Roman" w:hAnsi="Calibri" w:cs="Calibri"/>
                <w:kern w:val="0"/>
                <w:lang w:val="en-US" w:eastAsia="en-GB"/>
                <w14:ligatures w14:val="none"/>
              </w:rPr>
              <w:t>, to ensure that carbon credits are appropriately accounted for and comply with the regulations.</w:t>
            </w:r>
          </w:p>
          <w:p w14:paraId="38C2165D" w14:textId="06E206EC"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2BA4E183" w:rsidR="00343937" w:rsidRPr="00CF2E7C" w:rsidRDefault="004939F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1452BD3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364B3D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5288AE6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216D9">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B12BEA" w14:textId="1B7E6087" w:rsidR="00343937" w:rsidRDefault="00C41E04" w:rsidP="00C41E04">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Pursuant to Article 6(b) and (c) of the policy </w:t>
            </w:r>
            <w:proofErr w:type="gramStart"/>
            <w:r>
              <w:rPr>
                <w:rFonts w:ascii="Calibri" w:eastAsia="Times New Roman" w:hAnsi="Calibri" w:cs="Calibri"/>
                <w:kern w:val="0"/>
                <w:lang w:eastAsia="en-GB"/>
                <w14:ligatures w14:val="none"/>
              </w:rPr>
              <w:t>tool,  the</w:t>
            </w:r>
            <w:proofErr w:type="gramEnd"/>
            <w:r>
              <w:rPr>
                <w:rFonts w:ascii="Calibri" w:eastAsia="Times New Roman" w:hAnsi="Calibri" w:cs="Calibri"/>
                <w:kern w:val="0"/>
                <w:lang w:eastAsia="en-GB"/>
                <w14:ligatures w14:val="none"/>
              </w:rPr>
              <w:t xml:space="preserve"> policy tool has mentioned double counting, which highlight the need for harmonization with other NEK mechanisms to avoid double issuance and payments of carbon credits for carbon trading and carbon offsets.</w:t>
            </w:r>
          </w:p>
          <w:p w14:paraId="70A5A87D" w14:textId="77777777" w:rsidR="00C41E04" w:rsidRPr="00C41E04" w:rsidRDefault="00C41E04" w:rsidP="00C41E04">
            <w:pPr>
              <w:jc w:val="both"/>
              <w:textAlignment w:val="baseline"/>
              <w:rPr>
                <w:rFonts w:ascii="Calibri" w:eastAsia="Times New Roman" w:hAnsi="Calibri" w:cs="Calibri"/>
                <w:kern w:val="0"/>
                <w:lang w:eastAsia="en-GB"/>
                <w14:ligatures w14:val="none"/>
              </w:rPr>
            </w:pPr>
          </w:p>
          <w:p w14:paraId="4878BF58" w14:textId="7D622B86" w:rsidR="00C41E04" w:rsidRPr="00CF2E7C" w:rsidRDefault="00C41E04" w:rsidP="00785086">
            <w:pPr>
              <w:jc w:val="both"/>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0D3DC60F" w:rsidR="000A6F11" w:rsidRPr="00CF2E7C" w:rsidRDefault="00777A6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lastRenderedPageBreak/>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BA5DD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BA5DD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F7D42E2" w14:textId="77777777" w:rsidR="007F6D67" w:rsidRDefault="007F6D67" w:rsidP="00874E39">
      <w:r>
        <w:separator/>
      </w:r>
    </w:p>
  </w:endnote>
  <w:endnote w:type="continuationSeparator" w:id="0">
    <w:p w14:paraId="3EAD9689" w14:textId="77777777" w:rsidR="007F6D67" w:rsidRDefault="007F6D67" w:rsidP="00874E39">
      <w:r>
        <w:continuationSeparator/>
      </w:r>
    </w:p>
  </w:endnote>
  <w:endnote w:type="continuationNotice" w:id="1">
    <w:p w14:paraId="3190E268" w14:textId="77777777" w:rsidR="007F6D67" w:rsidRDefault="007F6D6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1E2517A" w14:textId="77777777" w:rsidR="007F6D67" w:rsidRDefault="007F6D67" w:rsidP="00874E39">
      <w:r>
        <w:separator/>
      </w:r>
    </w:p>
  </w:footnote>
  <w:footnote w:type="continuationSeparator" w:id="0">
    <w:p w14:paraId="63183322" w14:textId="77777777" w:rsidR="007F6D67" w:rsidRDefault="007F6D67" w:rsidP="00874E39">
      <w:r>
        <w:continuationSeparator/>
      </w:r>
    </w:p>
  </w:footnote>
  <w:footnote w:type="continuationNotice" w:id="1">
    <w:p w14:paraId="588FE065" w14:textId="77777777" w:rsidR="007F6D67" w:rsidRDefault="007F6D6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41C2F0D"/>
    <w:multiLevelType w:val="hybridMultilevel"/>
    <w:tmpl w:val="EB9C3F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7"/>
  </w:num>
  <w:num w:numId="47" w16cid:durableId="342588554">
    <w:abstractNumId w:val="25"/>
  </w:num>
  <w:num w:numId="48" w16cid:durableId="318391343">
    <w:abstractNumId w:val="36"/>
  </w:num>
  <w:num w:numId="49" w16cid:durableId="1510098300">
    <w:abstractNumId w:val="4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1"/>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1E06"/>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0034"/>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3EE"/>
    <w:rsid w:val="00067899"/>
    <w:rsid w:val="00067E05"/>
    <w:rsid w:val="000702AA"/>
    <w:rsid w:val="000704DB"/>
    <w:rsid w:val="00071C1F"/>
    <w:rsid w:val="0007502A"/>
    <w:rsid w:val="00075B10"/>
    <w:rsid w:val="00077154"/>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16D9"/>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07AC"/>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1C1D"/>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6C3"/>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987"/>
    <w:rsid w:val="00250ED8"/>
    <w:rsid w:val="00250F54"/>
    <w:rsid w:val="0025129B"/>
    <w:rsid w:val="0025449C"/>
    <w:rsid w:val="002552C9"/>
    <w:rsid w:val="0025765F"/>
    <w:rsid w:val="00257732"/>
    <w:rsid w:val="0026252C"/>
    <w:rsid w:val="00264CBC"/>
    <w:rsid w:val="0026588F"/>
    <w:rsid w:val="0026642F"/>
    <w:rsid w:val="002679A5"/>
    <w:rsid w:val="0027067C"/>
    <w:rsid w:val="00270A4D"/>
    <w:rsid w:val="0027150E"/>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7B"/>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4AFD"/>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18D"/>
    <w:rsid w:val="003676DE"/>
    <w:rsid w:val="0036779C"/>
    <w:rsid w:val="00371D92"/>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8C1"/>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BFF"/>
    <w:rsid w:val="00452F13"/>
    <w:rsid w:val="004557A1"/>
    <w:rsid w:val="00455E1B"/>
    <w:rsid w:val="00460A6D"/>
    <w:rsid w:val="00461552"/>
    <w:rsid w:val="00463D40"/>
    <w:rsid w:val="00464C5E"/>
    <w:rsid w:val="0046509D"/>
    <w:rsid w:val="00465B8D"/>
    <w:rsid w:val="00465BE4"/>
    <w:rsid w:val="0046755A"/>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9F3"/>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0CCB"/>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02F"/>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3C2C"/>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775"/>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44E8"/>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6F7EC1"/>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69E"/>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A6F"/>
    <w:rsid w:val="00777BF4"/>
    <w:rsid w:val="00777E1D"/>
    <w:rsid w:val="007802C6"/>
    <w:rsid w:val="007807DE"/>
    <w:rsid w:val="00782ABB"/>
    <w:rsid w:val="00782B03"/>
    <w:rsid w:val="00783F69"/>
    <w:rsid w:val="00785086"/>
    <w:rsid w:val="00785598"/>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67"/>
    <w:rsid w:val="007F6DD7"/>
    <w:rsid w:val="007F71BD"/>
    <w:rsid w:val="007F7D9C"/>
    <w:rsid w:val="008009B2"/>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2FB"/>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681"/>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5D22"/>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391"/>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136A"/>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876"/>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5DD4"/>
    <w:rsid w:val="00BA6260"/>
    <w:rsid w:val="00BA62BE"/>
    <w:rsid w:val="00BA65F0"/>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4F19"/>
    <w:rsid w:val="00C16C64"/>
    <w:rsid w:val="00C173CD"/>
    <w:rsid w:val="00C20109"/>
    <w:rsid w:val="00C20FC8"/>
    <w:rsid w:val="00C227D5"/>
    <w:rsid w:val="00C228DF"/>
    <w:rsid w:val="00C2454C"/>
    <w:rsid w:val="00C25F98"/>
    <w:rsid w:val="00C265B0"/>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1E04"/>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0779"/>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320D"/>
    <w:rsid w:val="00CE46AE"/>
    <w:rsid w:val="00CE6394"/>
    <w:rsid w:val="00CF01F9"/>
    <w:rsid w:val="00CF0293"/>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2B8"/>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3F26"/>
    <w:rsid w:val="00E34DED"/>
    <w:rsid w:val="00E368E8"/>
    <w:rsid w:val="00E36D6E"/>
    <w:rsid w:val="00E3773D"/>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64F"/>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087"/>
    <w:rsid w:val="00ED77B0"/>
    <w:rsid w:val="00ED7E12"/>
    <w:rsid w:val="00EE0325"/>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6FA"/>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2704"/>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6F7EC1"/>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www.w3.org/XML/1998/namespace"/>
    <ds:schemaRef ds:uri="http://purl.org/dc/terms/"/>
    <ds:schemaRef ds:uri="http://purl.org/dc/dcmitype/"/>
    <ds:schemaRef ds:uri="f3ae4679-24f8-43cb-880e-0de6e561589c"/>
    <ds:schemaRef ds:uri="http://schemas.microsoft.com/office/2006/metadata/properties"/>
    <ds:schemaRef ds:uri="http://schemas.microsoft.com/office/2006/documentManagement/types"/>
    <ds:schemaRef ds:uri="http://schemas.microsoft.com/office/infopath/2007/PartnerControls"/>
    <ds:schemaRef ds:uri="http://schemas.openxmlformats.org/package/2006/metadata/core-properties"/>
    <ds:schemaRef ds:uri="a84edb6d-cf86-4b2b-8a62-38e962ed6fbe"/>
    <ds:schemaRef ds:uri="http://purl.org/dc/elements/1.1/"/>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1960</TotalTime>
  <Pages>114</Pages>
  <Words>21421</Words>
  <Characters>133239</Characters>
  <Application>Microsoft Office Word</Application>
  <DocSecurity>0</DocSecurity>
  <Lines>5124</Lines>
  <Paragraphs>1546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153114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SSEK</cp:lastModifiedBy>
  <cp:revision>18</cp:revision>
  <cp:lastPrinted>2025-03-21T00:14:00Z</cp:lastPrinted>
  <dcterms:created xsi:type="dcterms:W3CDTF">2025-06-25T12:02:00Z</dcterms:created>
  <dcterms:modified xsi:type="dcterms:W3CDTF">2025-08-12T10:04:00Z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